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outlineLvl w:val="0"/>
        <w:rPr>
          <w:rFonts w:eastAsia="仿宋"/>
          <w:sz w:val="72"/>
          <w:szCs w:val="72"/>
        </w:rPr>
      </w:pPr>
      <w:r>
        <w:rPr>
          <w:rFonts w:hint="eastAsia" w:eastAsia="仿宋"/>
          <w:sz w:val="72"/>
          <w:szCs w:val="72"/>
        </w:rPr>
        <w:t>项目</w:t>
      </w:r>
      <w:r>
        <w:rPr>
          <w:rFonts w:eastAsia="仿宋"/>
          <w:sz w:val="72"/>
          <w:szCs w:val="72"/>
        </w:rPr>
        <w:t>采购文件</w:t>
      </w:r>
    </w:p>
    <w:p>
      <w:pPr>
        <w:snapToGrid w:val="0"/>
        <w:spacing w:before="156" w:beforeLines="50" w:line="360" w:lineRule="auto"/>
        <w:rPr>
          <w:rFonts w:eastAsia="仿宋"/>
          <w:sz w:val="30"/>
          <w:szCs w:val="72"/>
        </w:rPr>
      </w:pPr>
    </w:p>
    <w:p>
      <w:pPr>
        <w:pStyle w:val="15"/>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5"/>
        <w:snapToGrid w:val="0"/>
        <w:spacing w:before="120" w:after="120" w:line="360" w:lineRule="auto"/>
        <w:jc w:val="center"/>
        <w:rPr>
          <w:rFonts w:ascii="Times New Roman" w:hAnsi="Times New Roman" w:eastAsia="仿宋"/>
          <w:b/>
          <w:bCs/>
          <w:sz w:val="30"/>
          <w:szCs w:val="30"/>
        </w:rPr>
      </w:pPr>
    </w:p>
    <w:p>
      <w:pPr>
        <w:overflowPunct w:val="0"/>
        <w:autoSpaceDE w:val="0"/>
        <w:autoSpaceDN w:val="0"/>
        <w:spacing w:line="560" w:lineRule="exact"/>
        <w:jc w:val="center"/>
        <w:rPr>
          <w:rFonts w:eastAsia="仿宋"/>
          <w:b/>
          <w:sz w:val="30"/>
          <w:szCs w:val="72"/>
        </w:rPr>
      </w:pPr>
      <w:r>
        <w:rPr>
          <w:rFonts w:eastAsia="仿宋"/>
          <w:b/>
          <w:sz w:val="30"/>
          <w:szCs w:val="72"/>
        </w:rPr>
        <w:t>项目名称：</w:t>
      </w:r>
      <w:r>
        <w:rPr>
          <w:rFonts w:hint="eastAsia" w:eastAsia="仿宋"/>
          <w:b/>
          <w:sz w:val="30"/>
          <w:szCs w:val="72"/>
        </w:rPr>
        <w:t>广西大数据分析公共服务平台、广西融合视频会议系统和广西惠企惠民政策兑现平台第三方软件测评服务采购</w:t>
      </w:r>
    </w:p>
    <w:p>
      <w:pPr>
        <w:pStyle w:val="15"/>
        <w:snapToGrid w:val="0"/>
        <w:spacing w:before="120" w:after="120" w:line="360" w:lineRule="auto"/>
        <w:ind w:firstLine="1656" w:firstLineChars="550"/>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ind w:firstLine="2397" w:firstLineChars="796"/>
        <w:rPr>
          <w:rFonts w:ascii="Times New Roman" w:hAnsi="Times New Roman" w:eastAsia="仿宋"/>
          <w:b/>
          <w:sz w:val="30"/>
          <w:szCs w:val="72"/>
        </w:rPr>
      </w:pPr>
    </w:p>
    <w:p>
      <w:pPr>
        <w:pStyle w:val="15"/>
        <w:snapToGrid w:val="0"/>
        <w:spacing w:before="120" w:after="120" w:line="360" w:lineRule="auto"/>
        <w:jc w:val="center"/>
        <w:outlineLvl w:val="0"/>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spacing w:before="1092" w:beforeLines="350" w:after="468" w:afterLines="150" w:line="400" w:lineRule="exact"/>
        <w:jc w:val="center"/>
        <w:rPr>
          <w:rFonts w:ascii="宋体" w:hAnsi="宋体"/>
          <w:b/>
          <w:sz w:val="44"/>
          <w:szCs w:val="44"/>
        </w:rPr>
      </w:pPr>
      <w:r>
        <w:rPr>
          <w:rFonts w:eastAsia="仿宋"/>
          <w:b/>
          <w:bCs/>
          <w:w w:val="95"/>
          <w:sz w:val="30"/>
          <w:szCs w:val="30"/>
        </w:rPr>
        <w:t>2024年</w:t>
      </w:r>
      <w:r>
        <w:rPr>
          <w:rFonts w:hint="eastAsia" w:eastAsia="仿宋"/>
          <w:b/>
          <w:bCs/>
          <w:w w:val="95"/>
          <w:sz w:val="30"/>
          <w:szCs w:val="30"/>
        </w:rPr>
        <w:t xml:space="preserve">  </w:t>
      </w:r>
      <w:r>
        <w:rPr>
          <w:rFonts w:eastAsia="仿宋"/>
          <w:b/>
          <w:bCs/>
          <w:w w:val="95"/>
          <w:sz w:val="30"/>
          <w:szCs w:val="30"/>
        </w:rPr>
        <w:t>月</w:t>
      </w:r>
      <w:r>
        <w:rPr>
          <w:rFonts w:ascii="宋体" w:hAnsi="宋体"/>
          <w:b/>
          <w:sz w:val="44"/>
          <w:szCs w:val="44"/>
        </w:rPr>
        <w:br w:type="page"/>
      </w:r>
      <w:r>
        <w:rPr>
          <w:rFonts w:hint="eastAsia" w:ascii="宋体" w:hAnsi="宋体"/>
          <w:b/>
          <w:sz w:val="44"/>
          <w:szCs w:val="44"/>
        </w:rPr>
        <w:t>目   录</w:t>
      </w:r>
    </w:p>
    <w:p>
      <w:pPr>
        <w:numPr>
          <w:ilvl w:val="0"/>
          <w:numId w:val="1"/>
        </w:numPr>
        <w:spacing w:line="800" w:lineRule="exact"/>
        <w:ind w:left="1077" w:hanging="717"/>
        <w:jc w:val="left"/>
        <w:outlineLvl w:val="0"/>
        <w:rPr>
          <w:rFonts w:ascii="宋体" w:hAnsi="宋体"/>
          <w:b/>
          <w:sz w:val="28"/>
          <w:szCs w:val="32"/>
        </w:rPr>
      </w:pPr>
      <w:r>
        <w:rPr>
          <w:rFonts w:hint="eastAsia" w:ascii="宋体" w:hAnsi="宋体"/>
          <w:b/>
          <w:sz w:val="28"/>
          <w:szCs w:val="32"/>
        </w:rPr>
        <w:t>采购公告…………………………………………………………3</w:t>
      </w:r>
    </w:p>
    <w:p>
      <w:pPr>
        <w:numPr>
          <w:ilvl w:val="0"/>
          <w:numId w:val="2"/>
        </w:numPr>
        <w:spacing w:line="800" w:lineRule="exact"/>
        <w:ind w:left="1077" w:hanging="717"/>
        <w:jc w:val="left"/>
        <w:rPr>
          <w:rFonts w:ascii="宋体" w:hAnsi="宋体"/>
          <w:b/>
          <w:sz w:val="28"/>
          <w:szCs w:val="32"/>
        </w:rPr>
      </w:pPr>
      <w:r>
        <w:rPr>
          <w:rFonts w:hint="eastAsia" w:ascii="宋体" w:hAnsi="宋体"/>
          <w:b/>
          <w:sz w:val="28"/>
          <w:szCs w:val="32"/>
        </w:rPr>
        <w:t>报价人须知及前附表……………………………………………5</w:t>
      </w:r>
    </w:p>
    <w:p>
      <w:pPr>
        <w:numPr>
          <w:ilvl w:val="0"/>
          <w:numId w:val="2"/>
        </w:numPr>
        <w:spacing w:line="800" w:lineRule="exact"/>
        <w:ind w:left="1077" w:hanging="717"/>
        <w:jc w:val="left"/>
        <w:rPr>
          <w:rFonts w:ascii="宋体" w:hAnsi="宋体"/>
          <w:b/>
          <w:sz w:val="28"/>
          <w:szCs w:val="32"/>
        </w:rPr>
      </w:pPr>
      <w:r>
        <w:rPr>
          <w:rFonts w:hint="eastAsia" w:hAnsi="宋体"/>
          <w:b/>
          <w:sz w:val="28"/>
          <w:szCs w:val="32"/>
        </w:rPr>
        <w:t>服务需求及说明</w:t>
      </w:r>
      <w:r>
        <w:rPr>
          <w:rFonts w:hint="eastAsia" w:ascii="宋体" w:hAnsi="宋体"/>
          <w:b/>
          <w:sz w:val="28"/>
          <w:szCs w:val="32"/>
        </w:rPr>
        <w:t>…………………………………………………13</w:t>
      </w:r>
    </w:p>
    <w:p>
      <w:pPr>
        <w:numPr>
          <w:ilvl w:val="0"/>
          <w:numId w:val="2"/>
        </w:numPr>
        <w:spacing w:line="800" w:lineRule="exact"/>
        <w:ind w:left="1077" w:hanging="717"/>
        <w:jc w:val="left"/>
        <w:rPr>
          <w:rFonts w:ascii="宋体" w:hAnsi="宋体"/>
          <w:b/>
          <w:sz w:val="28"/>
          <w:szCs w:val="32"/>
        </w:rPr>
      </w:pPr>
      <w:r>
        <w:rPr>
          <w:rFonts w:hint="eastAsia" w:ascii="宋体" w:hAnsi="宋体"/>
          <w:b/>
          <w:sz w:val="28"/>
          <w:szCs w:val="32"/>
        </w:rPr>
        <w:t>评审办法及成交标准……………………………………………18</w:t>
      </w:r>
    </w:p>
    <w:p>
      <w:pPr>
        <w:numPr>
          <w:ilvl w:val="0"/>
          <w:numId w:val="2"/>
        </w:numPr>
        <w:spacing w:line="800" w:lineRule="exact"/>
        <w:ind w:left="1077" w:hanging="717"/>
        <w:jc w:val="left"/>
        <w:rPr>
          <w:rFonts w:ascii="宋体" w:hAnsi="宋体"/>
          <w:b/>
          <w:sz w:val="28"/>
          <w:szCs w:val="32"/>
        </w:rPr>
      </w:pPr>
      <w:r>
        <w:rPr>
          <w:rFonts w:hint="eastAsia" w:ascii="宋体" w:hAnsi="宋体"/>
          <w:b/>
          <w:sz w:val="28"/>
          <w:szCs w:val="32"/>
        </w:rPr>
        <w:t>响应文件格式……………………………………………………20</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3"/>
        </w:numPr>
        <w:spacing w:line="500" w:lineRule="exact"/>
        <w:jc w:val="center"/>
        <w:rPr>
          <w:rFonts w:ascii="宋体" w:hAnsi="宋体"/>
          <w:b/>
          <w:sz w:val="28"/>
          <w:szCs w:val="28"/>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3"/>
        </w:numPr>
        <w:spacing w:line="500" w:lineRule="exact"/>
        <w:jc w:val="center"/>
        <w:rPr>
          <w:rFonts w:ascii="宋体" w:hAnsi="宋体"/>
          <w:b/>
          <w:sz w:val="28"/>
          <w:szCs w:val="28"/>
        </w:rPr>
      </w:pPr>
      <w:r>
        <w:rPr>
          <w:rFonts w:hint="eastAsia" w:ascii="宋体" w:hAnsi="宋体"/>
          <w:b/>
          <w:sz w:val="28"/>
          <w:szCs w:val="28"/>
        </w:rPr>
        <w:t>采购公告</w:t>
      </w:r>
    </w:p>
    <w:p>
      <w:pPr>
        <w:tabs>
          <w:tab w:val="left" w:pos="9193"/>
          <w:tab w:val="left" w:pos="9827"/>
        </w:tabs>
        <w:spacing w:before="120" w:beforeLines="50" w:line="360" w:lineRule="auto"/>
        <w:jc w:val="center"/>
        <w:rPr>
          <w:rFonts w:ascii="宋体" w:hAnsi="宋体"/>
          <w:b/>
          <w:sz w:val="28"/>
          <w:szCs w:val="28"/>
        </w:rPr>
      </w:pPr>
      <w:r>
        <w:rPr>
          <w:rFonts w:hint="eastAsia" w:ascii="宋体" w:hAnsi="宋体"/>
          <w:b/>
          <w:sz w:val="28"/>
          <w:szCs w:val="28"/>
        </w:rPr>
        <w:t>广西壮族自治区信息中心关于广西大数据分析公共服务平台、广西融合视频会议系统和广西惠企惠民政策兑现平台第三方软件测评服务采购公告</w:t>
      </w:r>
    </w:p>
    <w:p>
      <w:pPr>
        <w:spacing w:line="400" w:lineRule="exact"/>
        <w:ind w:firstLine="420" w:firstLineChars="200"/>
        <w:jc w:val="left"/>
        <w:rPr>
          <w:rFonts w:ascii="宋体" w:hAnsi="宋体"/>
          <w:bCs/>
          <w:szCs w:val="21"/>
        </w:rPr>
      </w:pPr>
      <w:r>
        <w:rPr>
          <w:rFonts w:hint="eastAsia" w:ascii="宋体" w:hAnsi="宋体"/>
          <w:bCs/>
          <w:szCs w:val="21"/>
        </w:rPr>
        <w:t>根据我中心的工作需求，现就广西大数据分析公共服务平台、广西融合视频会议系统和广西惠企惠民政策兑现平台第三方软件测评服务进行采购，按照《中华人民共和国政府采购法》等有关规定要求，本着公开、公平、公正的原则，邀请符合条件且有意向承接该项工作的供应商参加报价。</w:t>
      </w:r>
    </w:p>
    <w:p>
      <w:pPr>
        <w:spacing w:line="400" w:lineRule="exact"/>
        <w:ind w:firstLine="422" w:firstLineChars="200"/>
        <w:jc w:val="left"/>
        <w:rPr>
          <w:rFonts w:ascii="宋体" w:hAnsi="宋体"/>
          <w:bCs/>
          <w:szCs w:val="21"/>
        </w:rPr>
      </w:pPr>
      <w:r>
        <w:rPr>
          <w:rFonts w:hint="eastAsia" w:ascii="宋体" w:hAnsi="宋体"/>
          <w:b/>
          <w:szCs w:val="21"/>
        </w:rPr>
        <w:t>一、采购项目名称：</w:t>
      </w:r>
      <w:r>
        <w:rPr>
          <w:rFonts w:hint="eastAsia" w:ascii="宋体" w:hAnsi="宋体"/>
          <w:bCs/>
          <w:szCs w:val="21"/>
        </w:rPr>
        <w:t>广西大数据分析公共服务平台、广西融合视频会议系统和广西惠企惠民政策兑现平台第三方软件测评服务</w:t>
      </w:r>
    </w:p>
    <w:p>
      <w:pPr>
        <w:pStyle w:val="2"/>
        <w:ind w:firstLine="480"/>
        <w:rPr>
          <w:rFonts w:ascii="宋体" w:hAnsi="宋体"/>
          <w:sz w:val="21"/>
          <w:szCs w:val="21"/>
        </w:rPr>
      </w:pPr>
      <w:r>
        <w:rPr>
          <w:rFonts w:hint="eastAsia" w:ascii="宋体" w:hAnsi="宋体"/>
          <w:b/>
          <w:sz w:val="21"/>
          <w:szCs w:val="21"/>
        </w:rPr>
        <w:t>二、采购项目的名称、数量、简要规格描述或项目基本概况介绍：</w:t>
      </w:r>
      <w:r>
        <w:rPr>
          <w:rFonts w:hint="eastAsia" w:ascii="宋体" w:hAnsi="宋体"/>
          <w:sz w:val="21"/>
          <w:szCs w:val="21"/>
        </w:rPr>
        <w:t>广西大数据分析公共服务平台、广西融合视频会议系统和广西惠企惠民政策兑现平台第三方软件测评服务采购1项，具体要求详见采购文件。</w:t>
      </w:r>
    </w:p>
    <w:p>
      <w:pPr>
        <w:pStyle w:val="2"/>
        <w:ind w:firstLine="480"/>
        <w:rPr>
          <w:rFonts w:ascii="宋体" w:hAnsi="宋体"/>
          <w:bCs w:val="0"/>
          <w:sz w:val="21"/>
          <w:szCs w:val="21"/>
        </w:rPr>
      </w:pPr>
      <w:r>
        <w:rPr>
          <w:rFonts w:hint="eastAsia" w:ascii="宋体" w:hAnsi="宋体"/>
          <w:b/>
          <w:bCs w:val="0"/>
          <w:sz w:val="21"/>
          <w:szCs w:val="21"/>
        </w:rPr>
        <w:t>三、采购预算金额（人民币）：</w:t>
      </w:r>
      <w:r>
        <w:rPr>
          <w:rFonts w:hint="eastAsia" w:ascii="宋体" w:hAnsi="宋体"/>
          <w:bCs w:val="0"/>
          <w:sz w:val="21"/>
          <w:szCs w:val="21"/>
          <w:highlight w:val="yellow"/>
        </w:rPr>
        <w:t>壹拾陆万贰仟柒佰元整（￥</w:t>
      </w:r>
      <w:r>
        <w:rPr>
          <w:rFonts w:ascii="宋体" w:hAnsi="宋体"/>
          <w:bCs w:val="0"/>
          <w:sz w:val="21"/>
          <w:szCs w:val="21"/>
          <w:highlight w:val="yellow"/>
        </w:rPr>
        <w:t>162700.00</w:t>
      </w:r>
      <w:r>
        <w:rPr>
          <w:rFonts w:hint="eastAsia" w:ascii="宋体" w:hAnsi="宋体"/>
          <w:bCs w:val="0"/>
          <w:sz w:val="21"/>
          <w:szCs w:val="21"/>
          <w:highlight w:val="yellow"/>
        </w:rPr>
        <w:t>）</w:t>
      </w:r>
      <w:r>
        <w:rPr>
          <w:rFonts w:hint="eastAsia" w:ascii="宋体" w:hAnsi="宋体"/>
          <w:bCs w:val="0"/>
          <w:sz w:val="21"/>
          <w:szCs w:val="21"/>
        </w:rPr>
        <w:t>。供应商的报价不得超出项目预算,否则按无效报价处理。</w:t>
      </w:r>
    </w:p>
    <w:p>
      <w:pPr>
        <w:spacing w:line="400" w:lineRule="exact"/>
        <w:ind w:firstLine="422" w:firstLineChars="200"/>
        <w:jc w:val="left"/>
        <w:outlineLvl w:val="1"/>
        <w:rPr>
          <w:rFonts w:ascii="宋体" w:hAnsi="宋体"/>
          <w:b/>
          <w:szCs w:val="21"/>
        </w:rPr>
      </w:pPr>
      <w:r>
        <w:rPr>
          <w:rFonts w:hint="eastAsia" w:ascii="宋体" w:hAnsi="宋体"/>
          <w:b/>
          <w:szCs w:val="21"/>
        </w:rPr>
        <w:t>四、报价人资格要求：</w:t>
      </w:r>
    </w:p>
    <w:p>
      <w:pPr>
        <w:spacing w:line="400" w:lineRule="exact"/>
        <w:ind w:firstLine="420" w:firstLineChars="200"/>
        <w:jc w:val="left"/>
        <w:rPr>
          <w:rFonts w:ascii="宋体" w:hAnsi="宋体"/>
          <w:bCs/>
          <w:szCs w:val="21"/>
        </w:rPr>
      </w:pPr>
      <w:r>
        <w:rPr>
          <w:rFonts w:hint="eastAsia" w:ascii="宋体" w:hAnsi="宋体"/>
          <w:bCs/>
          <w:szCs w:val="21"/>
        </w:rPr>
        <w:t>1.符合《中华人民共和国政府采购法》第二十二条规定的供应商资格条件。</w:t>
      </w:r>
    </w:p>
    <w:p>
      <w:pPr>
        <w:spacing w:line="400" w:lineRule="exact"/>
        <w:ind w:firstLine="420" w:firstLineChars="200"/>
        <w:jc w:val="left"/>
        <w:rPr>
          <w:rFonts w:ascii="宋体" w:hAnsi="宋体"/>
          <w:bCs/>
          <w:szCs w:val="21"/>
        </w:rPr>
      </w:pPr>
      <w:r>
        <w:rPr>
          <w:rFonts w:hint="eastAsia" w:ascii="宋体" w:hAnsi="宋体"/>
          <w:bCs/>
          <w:szCs w:val="21"/>
        </w:rPr>
        <w:t>2.国内注册（指按国家有关规定要求注册的），提供本次采购服务，具备独立法人资格。</w:t>
      </w:r>
    </w:p>
    <w:p>
      <w:pPr>
        <w:spacing w:line="400" w:lineRule="exact"/>
        <w:ind w:firstLine="420" w:firstLineChars="200"/>
        <w:jc w:val="left"/>
        <w:rPr>
          <w:rFonts w:ascii="宋体" w:hAnsi="宋体"/>
          <w:bCs/>
          <w:szCs w:val="21"/>
        </w:rPr>
      </w:pPr>
      <w:r>
        <w:rPr>
          <w:rFonts w:hint="eastAsia" w:ascii="宋体" w:hAnsi="宋体"/>
          <w:bCs/>
          <w:szCs w:val="21"/>
        </w:rPr>
        <w:t>3.需具备质量技术监督局的计量认证证书（CMA证书）。</w:t>
      </w:r>
    </w:p>
    <w:p>
      <w:pPr>
        <w:spacing w:line="400" w:lineRule="exact"/>
        <w:ind w:firstLine="420" w:firstLineChars="200"/>
        <w:jc w:val="left"/>
        <w:rPr>
          <w:rFonts w:ascii="宋体" w:hAnsi="宋体"/>
          <w:bCs/>
          <w:szCs w:val="21"/>
        </w:rPr>
      </w:pPr>
      <w:r>
        <w:rPr>
          <w:rFonts w:hint="eastAsia" w:ascii="宋体" w:hAnsi="宋体"/>
          <w:bCs/>
          <w:szCs w:val="21"/>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20" w:firstLineChars="200"/>
        <w:jc w:val="left"/>
        <w:rPr>
          <w:rFonts w:ascii="宋体" w:hAnsi="宋体"/>
          <w:bCs/>
          <w:szCs w:val="21"/>
        </w:rPr>
      </w:pPr>
      <w:r>
        <w:rPr>
          <w:rFonts w:hint="eastAsia" w:ascii="宋体" w:hAnsi="宋体"/>
          <w:bCs/>
          <w:szCs w:val="21"/>
        </w:rPr>
        <w:t xml:space="preserve">5.本项目不接受联合体报价。  </w:t>
      </w:r>
    </w:p>
    <w:p>
      <w:pPr>
        <w:spacing w:line="400" w:lineRule="exact"/>
        <w:ind w:firstLine="422" w:firstLineChars="200"/>
        <w:jc w:val="left"/>
        <w:outlineLvl w:val="1"/>
        <w:rPr>
          <w:rFonts w:ascii="宋体" w:hAnsi="宋体"/>
          <w:b/>
          <w:szCs w:val="21"/>
        </w:rPr>
      </w:pPr>
      <w:r>
        <w:rPr>
          <w:rFonts w:hint="eastAsia" w:ascii="宋体" w:hAnsi="宋体"/>
          <w:b/>
          <w:szCs w:val="21"/>
        </w:rPr>
        <w:t>五、需报送的材料:</w:t>
      </w:r>
    </w:p>
    <w:p>
      <w:pPr>
        <w:spacing w:line="400" w:lineRule="exact"/>
        <w:ind w:firstLine="420" w:firstLineChars="200"/>
        <w:jc w:val="left"/>
        <w:rPr>
          <w:rFonts w:ascii="宋体" w:hAnsi="宋体"/>
          <w:szCs w:val="21"/>
        </w:rPr>
      </w:pPr>
      <w:r>
        <w:rPr>
          <w:rFonts w:hint="eastAsia" w:ascii="宋体" w:hAnsi="宋体"/>
          <w:szCs w:val="21"/>
        </w:rPr>
        <w:t>1.响应文件；</w:t>
      </w:r>
    </w:p>
    <w:p>
      <w:pPr>
        <w:spacing w:line="400" w:lineRule="exact"/>
        <w:ind w:firstLine="420" w:firstLineChars="200"/>
        <w:jc w:val="left"/>
        <w:rPr>
          <w:rFonts w:ascii="宋体" w:hAnsi="宋体"/>
          <w:bCs/>
          <w:szCs w:val="21"/>
        </w:rPr>
      </w:pPr>
      <w:r>
        <w:rPr>
          <w:rFonts w:hint="eastAsia" w:ascii="宋体" w:hAnsi="宋体"/>
          <w:szCs w:val="21"/>
        </w:rPr>
        <w:t>2.报价人单位联系人姓名及联系方式。</w:t>
      </w:r>
    </w:p>
    <w:p>
      <w:pPr>
        <w:spacing w:line="400" w:lineRule="exact"/>
        <w:ind w:firstLine="422" w:firstLineChars="200"/>
        <w:jc w:val="left"/>
        <w:outlineLvl w:val="1"/>
        <w:rPr>
          <w:rFonts w:ascii="宋体" w:hAnsi="宋体"/>
          <w:b/>
          <w:szCs w:val="21"/>
        </w:rPr>
      </w:pPr>
      <w:r>
        <w:rPr>
          <w:rFonts w:hint="eastAsia" w:ascii="宋体" w:hAnsi="宋体"/>
          <w:b/>
          <w:szCs w:val="21"/>
        </w:rPr>
        <w:t>六、响应文件递交截止时间和地点：</w:t>
      </w:r>
    </w:p>
    <w:p>
      <w:pPr>
        <w:spacing w:line="400" w:lineRule="exact"/>
        <w:ind w:firstLine="420" w:firstLineChars="200"/>
        <w:jc w:val="left"/>
        <w:rPr>
          <w:rFonts w:ascii="宋体" w:hAnsi="宋体"/>
          <w:bCs/>
          <w:szCs w:val="21"/>
        </w:rPr>
      </w:pPr>
      <w:r>
        <w:rPr>
          <w:rFonts w:hint="eastAsia" w:ascii="宋体" w:hAnsi="宋体"/>
          <w:bCs/>
          <w:szCs w:val="21"/>
          <w:highlight w:val="yellow"/>
        </w:rPr>
        <w:t>报价人应于202</w:t>
      </w:r>
      <w:r>
        <w:rPr>
          <w:rFonts w:ascii="宋体" w:hAnsi="宋体"/>
          <w:bCs/>
          <w:szCs w:val="21"/>
          <w:highlight w:val="yellow"/>
        </w:rPr>
        <w:t>4</w:t>
      </w:r>
      <w:r>
        <w:rPr>
          <w:rFonts w:hint="eastAsia" w:ascii="宋体" w:hAnsi="宋体"/>
          <w:bCs/>
          <w:szCs w:val="21"/>
          <w:highlight w:val="yellow"/>
        </w:rPr>
        <w:t>年</w:t>
      </w:r>
      <w:r>
        <w:rPr>
          <w:rFonts w:hint="eastAsia" w:ascii="宋体" w:hAnsi="宋体"/>
          <w:bCs/>
          <w:szCs w:val="21"/>
          <w:highlight w:val="yellow"/>
          <w:lang w:val="en-US" w:eastAsia="zh-CN"/>
        </w:rPr>
        <w:t>3</w:t>
      </w:r>
      <w:r>
        <w:rPr>
          <w:rFonts w:hint="eastAsia" w:ascii="宋体" w:hAnsi="宋体"/>
          <w:bCs/>
          <w:szCs w:val="21"/>
          <w:highlight w:val="yellow"/>
        </w:rPr>
        <w:t>月</w:t>
      </w:r>
      <w:r>
        <w:rPr>
          <w:rFonts w:hint="eastAsia" w:ascii="宋体" w:hAnsi="宋体"/>
          <w:bCs/>
          <w:szCs w:val="21"/>
          <w:highlight w:val="yellow"/>
          <w:lang w:val="en-US" w:eastAsia="zh-CN"/>
        </w:rPr>
        <w:t>18</w:t>
      </w:r>
      <w:r>
        <w:rPr>
          <w:rFonts w:hint="eastAsia" w:ascii="宋体" w:hAnsi="宋体"/>
          <w:bCs/>
          <w:szCs w:val="21"/>
          <w:highlight w:val="yellow"/>
        </w:rPr>
        <w:t>日18:00前</w:t>
      </w:r>
      <w:r>
        <w:rPr>
          <w:rFonts w:hint="eastAsia" w:ascii="宋体" w:hAnsi="宋体"/>
          <w:bCs/>
          <w:szCs w:val="21"/>
        </w:rPr>
        <w:t>，将响应文件密封提交或邮寄到广西壮族自治区信息中心，逾期送达的将予以拒收（或作无效响应文件处理）。</w:t>
      </w:r>
    </w:p>
    <w:p>
      <w:pPr>
        <w:spacing w:line="400" w:lineRule="exact"/>
        <w:ind w:firstLine="422" w:firstLineChars="200"/>
        <w:jc w:val="left"/>
        <w:outlineLvl w:val="1"/>
        <w:rPr>
          <w:rFonts w:ascii="宋体" w:hAnsi="宋体"/>
          <w:b/>
          <w:szCs w:val="21"/>
        </w:rPr>
      </w:pPr>
      <w:r>
        <w:rPr>
          <w:rFonts w:hint="eastAsia" w:ascii="宋体" w:hAnsi="宋体"/>
          <w:b/>
          <w:szCs w:val="21"/>
        </w:rPr>
        <w:t>七、联系方式及通讯地址：</w:t>
      </w:r>
    </w:p>
    <w:p>
      <w:pPr>
        <w:spacing w:line="400" w:lineRule="exact"/>
        <w:ind w:firstLine="420" w:firstLineChars="200"/>
        <w:jc w:val="left"/>
        <w:outlineLvl w:val="2"/>
        <w:rPr>
          <w:rFonts w:ascii="宋体" w:hAnsi="宋体"/>
          <w:bCs/>
          <w:szCs w:val="21"/>
        </w:rPr>
      </w:pPr>
      <w:r>
        <w:rPr>
          <w:rFonts w:ascii="宋体" w:hAnsi="宋体"/>
          <w:bCs/>
          <w:szCs w:val="21"/>
        </w:rPr>
        <w:t>1.</w:t>
      </w:r>
      <w:r>
        <w:rPr>
          <w:rFonts w:hint="eastAsia" w:ascii="宋体" w:hAnsi="宋体"/>
          <w:bCs/>
          <w:szCs w:val="21"/>
        </w:rPr>
        <w:t>联系人：韦宝</w:t>
      </w:r>
      <w:r>
        <w:rPr>
          <w:rFonts w:ascii="宋体" w:hAnsi="宋体"/>
          <w:bCs/>
          <w:szCs w:val="21"/>
        </w:rPr>
        <w:t>  </w:t>
      </w:r>
      <w:r>
        <w:rPr>
          <w:rFonts w:hint="eastAsia" w:ascii="宋体" w:hAnsi="宋体"/>
          <w:bCs/>
          <w:szCs w:val="21"/>
        </w:rPr>
        <w:t>联系电话：</w:t>
      </w:r>
      <w:r>
        <w:rPr>
          <w:rFonts w:ascii="宋体" w:hAnsi="宋体"/>
          <w:bCs/>
          <w:szCs w:val="21"/>
        </w:rPr>
        <w:t>0771-61135</w:t>
      </w:r>
      <w:r>
        <w:rPr>
          <w:rFonts w:hint="eastAsia" w:ascii="宋体" w:hAnsi="宋体"/>
          <w:bCs/>
          <w:szCs w:val="21"/>
        </w:rPr>
        <w:t>03</w:t>
      </w:r>
    </w:p>
    <w:p>
      <w:pPr>
        <w:spacing w:line="400" w:lineRule="exact"/>
        <w:ind w:firstLine="420" w:firstLineChars="200"/>
        <w:jc w:val="left"/>
        <w:rPr>
          <w:rFonts w:ascii="宋体" w:hAnsi="宋体"/>
          <w:bCs/>
          <w:szCs w:val="21"/>
        </w:rPr>
      </w:pPr>
      <w:r>
        <w:rPr>
          <w:rFonts w:hint="eastAsia" w:ascii="宋体" w:hAnsi="宋体"/>
          <w:bCs/>
          <w:szCs w:val="21"/>
        </w:rPr>
        <w:t>2.通讯地址：南宁市良庆区体强路18号16楼1608号房，邮编：530221。</w:t>
      </w:r>
    </w:p>
    <w:p>
      <w:pPr>
        <w:spacing w:line="400" w:lineRule="exact"/>
        <w:rPr>
          <w:rFonts w:ascii="宋体" w:hAnsi="宋体"/>
          <w:szCs w:val="21"/>
        </w:rPr>
      </w:pPr>
      <w:r>
        <w:rPr>
          <w:rFonts w:hint="eastAsia" w:ascii="宋体" w:hAnsi="宋体"/>
          <w:szCs w:val="21"/>
        </w:rPr>
        <w:t xml:space="preserve">                                                        </w:t>
      </w:r>
    </w:p>
    <w:p>
      <w:pPr>
        <w:spacing w:line="400" w:lineRule="exact"/>
        <w:rPr>
          <w:rFonts w:ascii="宋体" w:hAnsi="宋体"/>
          <w:szCs w:val="21"/>
        </w:rPr>
      </w:pPr>
    </w:p>
    <w:p>
      <w:pPr>
        <w:spacing w:line="400" w:lineRule="exact"/>
        <w:ind w:firstLine="5985" w:firstLineChars="2850"/>
        <w:outlineLvl w:val="0"/>
        <w:rPr>
          <w:rFonts w:ascii="宋体" w:hAnsi="宋体"/>
          <w:bCs/>
          <w:szCs w:val="21"/>
        </w:rPr>
      </w:pPr>
      <w:r>
        <w:rPr>
          <w:rFonts w:ascii="宋体" w:hAnsi="宋体"/>
          <w:bCs/>
          <w:szCs w:val="21"/>
        </w:rPr>
        <w:t>广西壮族自治区信息中心</w:t>
      </w:r>
    </w:p>
    <w:p>
      <w:pPr>
        <w:spacing w:line="400" w:lineRule="exact"/>
        <w:ind w:firstLine="6405" w:firstLineChars="3050"/>
        <w:jc w:val="left"/>
        <w:rPr>
          <w:rFonts w:ascii="微软雅黑" w:hAnsi="微软雅黑" w:eastAsia="微软雅黑" w:cs="宋体"/>
          <w:color w:val="525353"/>
          <w:kern w:val="0"/>
          <w:sz w:val="37"/>
          <w:szCs w:val="37"/>
        </w:rPr>
      </w:pPr>
      <w:r>
        <w:rPr>
          <w:rFonts w:ascii="宋体" w:hAnsi="宋体"/>
          <w:bCs/>
          <w:szCs w:val="21"/>
          <w:highlight w:val="yellow"/>
        </w:rPr>
        <w:t>2024年</w:t>
      </w:r>
      <w:r>
        <w:rPr>
          <w:rFonts w:hint="eastAsia" w:ascii="宋体" w:hAnsi="宋体"/>
          <w:bCs/>
          <w:szCs w:val="21"/>
          <w:highlight w:val="yellow"/>
          <w:lang w:val="en-US" w:eastAsia="zh-CN"/>
        </w:rPr>
        <w:t>3</w:t>
      </w:r>
      <w:r>
        <w:rPr>
          <w:rFonts w:ascii="宋体" w:hAnsi="宋体"/>
          <w:bCs/>
          <w:szCs w:val="21"/>
          <w:highlight w:val="yellow"/>
        </w:rPr>
        <w:t>月</w:t>
      </w:r>
      <w:r>
        <w:rPr>
          <w:rFonts w:hint="eastAsia" w:ascii="宋体" w:hAnsi="宋体"/>
          <w:bCs/>
          <w:szCs w:val="21"/>
          <w:highlight w:val="yellow"/>
          <w:lang w:val="en-US" w:eastAsia="zh-CN"/>
        </w:rPr>
        <w:t>11</w:t>
      </w:r>
      <w:r>
        <w:rPr>
          <w:rFonts w:ascii="宋体" w:hAnsi="宋体"/>
          <w:bCs/>
          <w:szCs w:val="21"/>
          <w:highlight w:val="yellow"/>
        </w:rPr>
        <w:t>日</w:t>
      </w:r>
      <w:r>
        <w:rPr>
          <w:rFonts w:ascii="宋体" w:hAnsi="宋体"/>
          <w:bCs/>
          <w:sz w:val="24"/>
        </w:rPr>
        <w:t>   </w:t>
      </w:r>
      <w:r>
        <w:rPr>
          <w:rFonts w:ascii="Arial" w:hAnsi="Arial" w:eastAsia="微软雅黑" w:cs="Arial"/>
          <w:color w:val="525353"/>
          <w:kern w:val="0"/>
          <w:sz w:val="30"/>
          <w:szCs w:val="30"/>
        </w:rPr>
        <w:t>                                                      </w:t>
      </w:r>
    </w:p>
    <w:p>
      <w:pPr>
        <w:spacing w:line="500" w:lineRule="exact"/>
        <w:ind w:left="1080"/>
        <w:jc w:val="center"/>
        <w:outlineLvl w:val="0"/>
        <w:rPr>
          <w:rFonts w:ascii="宋体" w:hAnsi="宋体"/>
          <w:b/>
          <w:sz w:val="28"/>
          <w:szCs w:val="32"/>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line="500" w:lineRule="exact"/>
        <w:ind w:left="1080"/>
        <w:jc w:val="center"/>
        <w:outlineLvl w:val="0"/>
        <w:rPr>
          <w:rFonts w:ascii="宋体" w:hAnsi="宋体"/>
          <w:b/>
          <w:sz w:val="32"/>
          <w:szCs w:val="32"/>
        </w:rPr>
      </w:pP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报价人须知及前附表</w:t>
      </w:r>
    </w:p>
    <w:p>
      <w:pPr>
        <w:spacing w:line="400" w:lineRule="exact"/>
        <w:jc w:val="center"/>
        <w:rPr>
          <w:rFonts w:ascii="宋体" w:hAnsi="宋体"/>
          <w:b/>
          <w:sz w:val="24"/>
        </w:rPr>
      </w:pPr>
      <w:r>
        <w:rPr>
          <w:rFonts w:hint="eastAsia" w:ascii="宋体" w:hAnsi="宋体"/>
          <w:b/>
          <w:sz w:val="24"/>
        </w:rPr>
        <w:t>报价人须知前附表</w:t>
      </w:r>
    </w:p>
    <w:tbl>
      <w:tblPr>
        <w:tblStyle w:val="28"/>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rPr>
            </w:pPr>
            <w:r>
              <w:rPr>
                <w:rFonts w:hint="eastAsia" w:ascii="宋体" w:hAnsi="宋体"/>
                <w:b/>
                <w:sz w:val="24"/>
              </w:rPr>
              <w:t>序号</w:t>
            </w:r>
          </w:p>
        </w:tc>
        <w:tc>
          <w:tcPr>
            <w:tcW w:w="8603" w:type="dxa"/>
            <w:vAlign w:val="center"/>
          </w:tcPr>
          <w:p>
            <w:pPr>
              <w:spacing w:line="360" w:lineRule="exact"/>
              <w:jc w:val="center"/>
              <w:rPr>
                <w:rFonts w:ascii="宋体" w:hAnsi="宋体"/>
                <w:b/>
                <w:sz w:val="24"/>
              </w:rPr>
            </w:pPr>
            <w:r>
              <w:rPr>
                <w:rFonts w:hint="eastAsia" w:ascii="宋体" w:hAnsi="宋体"/>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1</w:t>
            </w:r>
          </w:p>
        </w:tc>
        <w:tc>
          <w:tcPr>
            <w:tcW w:w="8603" w:type="dxa"/>
            <w:vAlign w:val="center"/>
          </w:tcPr>
          <w:p>
            <w:pPr>
              <w:spacing w:line="400" w:lineRule="exact"/>
              <w:jc w:val="left"/>
              <w:rPr>
                <w:rFonts w:ascii="宋体" w:hAnsi="宋体" w:cs="宋体"/>
                <w:sz w:val="24"/>
              </w:rPr>
            </w:pPr>
            <w:r>
              <w:rPr>
                <w:rFonts w:hint="eastAsia" w:ascii="宋体" w:hAnsi="宋体" w:cs="宋体"/>
                <w:sz w:val="24"/>
              </w:rPr>
              <w:t>项目名称：</w:t>
            </w:r>
            <w:r>
              <w:rPr>
                <w:rFonts w:hint="eastAsia" w:ascii="宋体" w:hAnsi="宋体"/>
                <w:bCs/>
                <w:sz w:val="24"/>
              </w:rPr>
              <w:t>广西大数据分析公共服务平台、广西融合视频会议系统和广西惠企惠民政策兑现平台第三方软件测评服务。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2</w:t>
            </w:r>
          </w:p>
        </w:tc>
        <w:tc>
          <w:tcPr>
            <w:tcW w:w="8603" w:type="dxa"/>
            <w:vAlign w:val="center"/>
          </w:tcPr>
          <w:p>
            <w:pPr>
              <w:spacing w:line="360" w:lineRule="exact"/>
              <w:rPr>
                <w:sz w:val="24"/>
              </w:rPr>
            </w:pPr>
            <w:r>
              <w:rPr>
                <w:rFonts w:hint="eastAsia"/>
                <w:sz w:val="24"/>
              </w:rPr>
              <w:t>报价人资格及要求：</w:t>
            </w:r>
          </w:p>
          <w:p>
            <w:pPr>
              <w:spacing w:line="400" w:lineRule="exact"/>
              <w:jc w:val="left"/>
              <w:rPr>
                <w:sz w:val="24"/>
              </w:rPr>
            </w:pPr>
            <w:r>
              <w:rPr>
                <w:rFonts w:hint="eastAsia"/>
                <w:sz w:val="24"/>
              </w:rPr>
              <w:t>1.符合《中华人民共和国政府采购法》第二十二条规定的供应商资格条件。</w:t>
            </w:r>
          </w:p>
          <w:p>
            <w:pPr>
              <w:spacing w:line="400" w:lineRule="exact"/>
              <w:jc w:val="left"/>
              <w:rPr>
                <w:sz w:val="24"/>
              </w:rPr>
            </w:pPr>
            <w:r>
              <w:rPr>
                <w:rFonts w:hint="eastAsia"/>
                <w:sz w:val="24"/>
              </w:rPr>
              <w:t>2.国内注册（指按国家有关规定要求注册的），提供本次采购服务，具备独立法人资格。</w:t>
            </w:r>
          </w:p>
          <w:p>
            <w:pPr>
              <w:spacing w:line="400" w:lineRule="exact"/>
              <w:jc w:val="left"/>
              <w:rPr>
                <w:sz w:val="24"/>
              </w:rPr>
            </w:pPr>
            <w:r>
              <w:rPr>
                <w:rFonts w:hint="eastAsia"/>
                <w:sz w:val="24"/>
              </w:rPr>
              <w:t>3.需具备质量技术监督局的计量认证证书（CMA证书）。</w:t>
            </w:r>
          </w:p>
          <w:p>
            <w:pPr>
              <w:spacing w:line="400" w:lineRule="exact"/>
              <w:jc w:val="left"/>
              <w:rPr>
                <w:sz w:val="24"/>
              </w:rPr>
            </w:pPr>
            <w:r>
              <w:rPr>
                <w:rFonts w:hint="eastAsia"/>
                <w:sz w:val="24"/>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jc w:val="left"/>
              <w:rPr>
                <w:sz w:val="24"/>
              </w:rPr>
            </w:pPr>
            <w:r>
              <w:rPr>
                <w:rFonts w:hint="eastAsia"/>
                <w:sz w:val="24"/>
              </w:rPr>
              <w:t xml:space="preserve">5.本项目不接受联合体报价。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3</w:t>
            </w:r>
          </w:p>
        </w:tc>
        <w:tc>
          <w:tcPr>
            <w:tcW w:w="8603" w:type="dxa"/>
            <w:vAlign w:val="center"/>
          </w:tcPr>
          <w:p>
            <w:pPr>
              <w:spacing w:line="360" w:lineRule="exact"/>
              <w:rPr>
                <w:rFonts w:ascii="宋体" w:hAnsi="宋体" w:cs="宋体"/>
                <w:sz w:val="24"/>
              </w:rPr>
            </w:pPr>
            <w:r>
              <w:rPr>
                <w:rFonts w:hint="eastAsia" w:ascii="宋体" w:hAnsi="宋体" w:cs="宋体"/>
                <w:b/>
                <w:sz w:val="24"/>
              </w:rPr>
              <w:t>报价</w:t>
            </w:r>
            <w:r>
              <w:rPr>
                <w:rFonts w:hint="eastAsia" w:ascii="宋体" w:hAnsi="宋体" w:cs="宋体"/>
                <w:sz w:val="24"/>
              </w:rPr>
              <w:t>：</w:t>
            </w:r>
          </w:p>
          <w:p>
            <w:pPr>
              <w:spacing w:line="360" w:lineRule="exact"/>
              <w:jc w:val="left"/>
              <w:rPr>
                <w:rFonts w:ascii="宋体" w:hAnsi="宋体" w:cs="宋体"/>
                <w:bCs/>
                <w:sz w:val="24"/>
              </w:rPr>
            </w:pPr>
            <w:r>
              <w:rPr>
                <w:rFonts w:hint="eastAsia" w:ascii="宋体" w:hAnsi="宋体" w:cs="宋体"/>
                <w:bCs/>
                <w:sz w:val="24"/>
              </w:rPr>
              <w:t>1.报价人必须就《服务需求》中的所有内容作完整唯一报价，否则报价将被拒绝。</w:t>
            </w:r>
          </w:p>
          <w:p>
            <w:pPr>
              <w:spacing w:line="360" w:lineRule="exact"/>
              <w:jc w:val="left"/>
              <w:rPr>
                <w:rFonts w:ascii="宋体" w:hAnsi="宋体" w:cs="宋体"/>
                <w:bCs/>
                <w:sz w:val="24"/>
                <w:lang w:val="zh-CN"/>
              </w:rPr>
            </w:pPr>
            <w:r>
              <w:rPr>
                <w:rFonts w:hint="eastAsia" w:ascii="宋体" w:hAnsi="宋体" w:cs="宋体"/>
                <w:bCs/>
                <w:sz w:val="24"/>
                <w:lang w:val="zh-CN"/>
              </w:rPr>
              <w:t>2.本项目应以人民币报价。</w:t>
            </w:r>
          </w:p>
          <w:p>
            <w:pPr>
              <w:spacing w:line="360" w:lineRule="exact"/>
              <w:jc w:val="left"/>
              <w:rPr>
                <w:rFonts w:ascii="宋体" w:hAnsi="宋体" w:cs="宋体"/>
                <w:bCs/>
                <w:sz w:val="24"/>
                <w:lang w:val="zh-CN"/>
              </w:rPr>
            </w:pPr>
            <w:r>
              <w:rPr>
                <w:rFonts w:hint="eastAsia" w:ascii="宋体" w:hAnsi="宋体" w:cs="宋体"/>
                <w:bCs/>
                <w:sz w:val="24"/>
                <w:lang w:val="zh-CN"/>
              </w:rPr>
              <w:t>3.报价不超过</w:t>
            </w:r>
            <w:r>
              <w:rPr>
                <w:rFonts w:hint="eastAsia" w:ascii="宋体" w:hAnsi="宋体" w:cs="宋体"/>
                <w:bCs/>
                <w:sz w:val="24"/>
              </w:rPr>
              <w:t>采购预算价</w:t>
            </w:r>
            <w:r>
              <w:rPr>
                <w:rFonts w:hint="eastAsia" w:ascii="宋体" w:hAnsi="宋体" w:cs="宋体"/>
                <w:bCs/>
                <w:sz w:val="24"/>
                <w:lang w:val="zh-CN"/>
              </w:rPr>
              <w:t>为有效报价，超过</w:t>
            </w:r>
            <w:r>
              <w:rPr>
                <w:rFonts w:hint="eastAsia" w:ascii="宋体" w:hAnsi="宋体" w:cs="宋体"/>
                <w:bCs/>
                <w:sz w:val="24"/>
              </w:rPr>
              <w:t>采购预算价</w:t>
            </w:r>
            <w:r>
              <w:rPr>
                <w:rFonts w:hint="eastAsia" w:ascii="宋体" w:hAnsi="宋体" w:cs="宋体"/>
                <w:bCs/>
                <w:sz w:val="24"/>
                <w:lang w:val="zh-CN"/>
              </w:rPr>
              <w:t>的报价为无效报价。</w:t>
            </w:r>
          </w:p>
          <w:p>
            <w:pPr>
              <w:spacing w:line="360" w:lineRule="exact"/>
              <w:jc w:val="left"/>
              <w:rPr>
                <w:rFonts w:ascii="宋体" w:hAnsi="宋体" w:cs="宋体"/>
                <w:sz w:val="24"/>
              </w:rPr>
            </w:pPr>
            <w:r>
              <w:rPr>
                <w:rFonts w:hint="eastAsia" w:ascii="宋体" w:hAnsi="宋体" w:cs="宋体"/>
                <w:bCs/>
                <w:sz w:val="24"/>
                <w:lang w:val="zh-CN"/>
              </w:rPr>
              <w:t>4.</w:t>
            </w:r>
            <w:r>
              <w:rPr>
                <w:rFonts w:hint="eastAsia" w:ascii="宋体" w:hAnsi="宋体" w:cs="宋体"/>
                <w:bCs/>
                <w:sz w:val="24"/>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4</w:t>
            </w:r>
          </w:p>
        </w:tc>
        <w:tc>
          <w:tcPr>
            <w:tcW w:w="8603" w:type="dxa"/>
            <w:vAlign w:val="center"/>
          </w:tcPr>
          <w:p>
            <w:pPr>
              <w:spacing w:line="360" w:lineRule="exact"/>
              <w:rPr>
                <w:rFonts w:ascii="宋体" w:hAnsi="宋体" w:cs="宋体"/>
                <w:sz w:val="24"/>
              </w:rPr>
            </w:pPr>
            <w:r>
              <w:rPr>
                <w:rFonts w:hint="eastAsia" w:ascii="宋体" w:hAnsi="宋体" w:cs="宋体"/>
                <w:b/>
                <w:sz w:val="24"/>
              </w:rPr>
              <w:t>响应文件份数</w:t>
            </w:r>
            <w:r>
              <w:rPr>
                <w:rFonts w:hint="eastAsia" w:ascii="宋体" w:hAnsi="宋体" w:cs="宋体"/>
                <w:sz w:val="24"/>
              </w:rPr>
              <w:t>：正本一份  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5</w:t>
            </w:r>
          </w:p>
        </w:tc>
        <w:tc>
          <w:tcPr>
            <w:tcW w:w="8603" w:type="dxa"/>
            <w:vAlign w:val="center"/>
          </w:tcPr>
          <w:p>
            <w:pPr>
              <w:spacing w:line="360" w:lineRule="exact"/>
              <w:rPr>
                <w:rFonts w:ascii="宋体" w:hAnsi="宋体" w:cs="宋体"/>
                <w:sz w:val="24"/>
              </w:rPr>
            </w:pPr>
            <w:r>
              <w:rPr>
                <w:rFonts w:hint="eastAsia" w:ascii="宋体" w:hAnsi="宋体" w:cs="宋体"/>
                <w:b/>
                <w:bCs/>
                <w:sz w:val="24"/>
                <w:highlight w:val="yellow"/>
              </w:rPr>
              <w:t>响应文件递交截止时间：</w:t>
            </w:r>
            <w:r>
              <w:rPr>
                <w:rFonts w:hint="eastAsia" w:ascii="宋体" w:hAnsi="宋体"/>
                <w:bCs/>
                <w:sz w:val="24"/>
                <w:highlight w:val="yellow"/>
              </w:rPr>
              <w:t>202</w:t>
            </w:r>
            <w:r>
              <w:rPr>
                <w:rFonts w:ascii="宋体" w:hAnsi="宋体"/>
                <w:bCs/>
                <w:sz w:val="24"/>
                <w:highlight w:val="yellow"/>
              </w:rPr>
              <w:t>4</w:t>
            </w:r>
            <w:r>
              <w:rPr>
                <w:rFonts w:hint="eastAsia" w:ascii="宋体" w:hAnsi="宋体"/>
                <w:bCs/>
                <w:sz w:val="24"/>
                <w:highlight w:val="yellow"/>
              </w:rPr>
              <w:t>年</w:t>
            </w:r>
            <w:r>
              <w:rPr>
                <w:rFonts w:hint="eastAsia" w:ascii="宋体" w:hAnsi="宋体"/>
                <w:bCs/>
                <w:sz w:val="24"/>
                <w:highlight w:val="yellow"/>
                <w:lang w:val="en-US" w:eastAsia="zh-CN"/>
              </w:rPr>
              <w:t>3</w:t>
            </w:r>
            <w:r>
              <w:rPr>
                <w:rFonts w:hint="eastAsia" w:ascii="宋体" w:hAnsi="宋体"/>
                <w:bCs/>
                <w:sz w:val="24"/>
                <w:highlight w:val="yellow"/>
              </w:rPr>
              <w:t>月</w:t>
            </w:r>
            <w:r>
              <w:rPr>
                <w:rFonts w:hint="eastAsia" w:ascii="宋体" w:hAnsi="宋体"/>
                <w:bCs/>
                <w:sz w:val="24"/>
                <w:highlight w:val="yellow"/>
                <w:lang w:val="en-US" w:eastAsia="zh-CN"/>
              </w:rPr>
              <w:t>18</w:t>
            </w:r>
            <w:r>
              <w:rPr>
                <w:rFonts w:hint="eastAsia" w:ascii="宋体" w:hAnsi="宋体"/>
                <w:bCs/>
                <w:sz w:val="24"/>
                <w:highlight w:val="yellow"/>
              </w:rPr>
              <w:t>日</w:t>
            </w:r>
            <w:r>
              <w:rPr>
                <w:rFonts w:hint="eastAsia" w:ascii="宋体" w:hAnsi="宋体"/>
                <w:sz w:val="24"/>
                <w:highlight w:val="yellow"/>
              </w:rPr>
              <w:t>18时00分</w:t>
            </w:r>
            <w:r>
              <w:rPr>
                <w:rFonts w:hint="eastAsia" w:ascii="宋体" w:hAnsi="宋体" w:cs="宋体"/>
                <w:sz w:val="24"/>
                <w:highlight w:val="yellow"/>
              </w:rPr>
              <w:t>。</w:t>
            </w:r>
          </w:p>
          <w:p>
            <w:pPr>
              <w:spacing w:line="360" w:lineRule="exact"/>
              <w:rPr>
                <w:rFonts w:ascii="宋体" w:hAnsi="宋体" w:cs="宋体"/>
                <w:sz w:val="24"/>
              </w:rPr>
            </w:pPr>
            <w:r>
              <w:rPr>
                <w:rFonts w:hint="eastAsia" w:ascii="宋体" w:hAnsi="宋体" w:cs="宋体"/>
                <w:sz w:val="24"/>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6</w:t>
            </w:r>
          </w:p>
        </w:tc>
        <w:tc>
          <w:tcPr>
            <w:tcW w:w="8603" w:type="dxa"/>
            <w:vAlign w:val="center"/>
          </w:tcPr>
          <w:p>
            <w:pPr>
              <w:spacing w:line="360" w:lineRule="exact"/>
              <w:rPr>
                <w:rFonts w:ascii="宋体" w:hAnsi="宋体" w:cs="宋体"/>
                <w:sz w:val="24"/>
              </w:rPr>
            </w:pPr>
            <w:r>
              <w:rPr>
                <w:rFonts w:hint="eastAsia" w:ascii="宋体" w:hAnsi="宋体" w:cs="宋体"/>
                <w:b/>
                <w:bCs/>
                <w:sz w:val="24"/>
              </w:rPr>
              <w:t>履约保证金:</w:t>
            </w: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7</w:t>
            </w:r>
          </w:p>
        </w:tc>
        <w:tc>
          <w:tcPr>
            <w:tcW w:w="8603" w:type="dxa"/>
            <w:vAlign w:val="center"/>
          </w:tcPr>
          <w:p>
            <w:pPr>
              <w:spacing w:line="360" w:lineRule="exact"/>
              <w:rPr>
                <w:rFonts w:ascii="宋体" w:hAnsi="宋体" w:cs="宋体"/>
                <w:sz w:val="24"/>
              </w:rPr>
            </w:pPr>
            <w:r>
              <w:rPr>
                <w:rFonts w:hint="eastAsia" w:ascii="宋体" w:hAnsi="宋体" w:cs="宋体"/>
                <w:b/>
                <w:sz w:val="24"/>
              </w:rPr>
              <w:t>评标方法：</w:t>
            </w:r>
            <w:r>
              <w:rPr>
                <w:rFonts w:hint="eastAsia" w:ascii="宋体" w:hAnsi="宋体" w:cs="宋体"/>
                <w:sz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8</w:t>
            </w:r>
          </w:p>
        </w:tc>
        <w:tc>
          <w:tcPr>
            <w:tcW w:w="8603" w:type="dxa"/>
            <w:vAlign w:val="center"/>
          </w:tcPr>
          <w:p>
            <w:pPr>
              <w:spacing w:line="360" w:lineRule="exact"/>
              <w:rPr>
                <w:rFonts w:ascii="宋体" w:hAnsi="宋体" w:cs="宋体"/>
                <w:b/>
                <w:sz w:val="24"/>
              </w:rPr>
            </w:pPr>
            <w:r>
              <w:rPr>
                <w:rFonts w:hint="eastAsia" w:ascii="宋体" w:hAnsi="宋体" w:cs="宋体"/>
                <w:b/>
                <w:bCs/>
                <w:sz w:val="24"/>
              </w:rPr>
              <w:t>本项目采购总预算价为：</w:t>
            </w:r>
            <w:r>
              <w:rPr>
                <w:rFonts w:hint="eastAsia" w:ascii="宋体" w:hAnsi="宋体" w:cs="宋体"/>
                <w:b/>
                <w:bCs/>
                <w:sz w:val="24"/>
                <w:highlight w:val="yellow"/>
              </w:rPr>
              <w:t>壹拾陆万贰仟柒佰元整（￥162700.00），其中</w:t>
            </w:r>
            <w:r>
              <w:rPr>
                <w:rFonts w:hint="eastAsia" w:ascii="宋体" w:hAnsi="宋体" w:cs="宋体"/>
                <w:b/>
                <w:bCs/>
                <w:sz w:val="24"/>
              </w:rPr>
              <w:t>广西大数据分析公共服务平台预算金额5.53万元、广西融合视频会议系统预算金额2万元、广西惠企惠民政策兑现平台预算金额8.</w:t>
            </w:r>
            <w:r>
              <w:rPr>
                <w:rFonts w:hint="eastAsia" w:ascii="宋体" w:hAnsi="宋体" w:cs="宋体"/>
                <w:b/>
                <w:bCs/>
                <w:sz w:val="24"/>
                <w:lang w:val="en-US" w:eastAsia="zh-CN"/>
              </w:rPr>
              <w:t>74</w:t>
            </w:r>
            <w:r>
              <w:rPr>
                <w:rFonts w:hint="eastAsia" w:ascii="宋体" w:hAnsi="宋体" w:cs="宋体"/>
                <w:b/>
                <w:bCs/>
                <w:sz w:val="24"/>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9</w:t>
            </w:r>
          </w:p>
        </w:tc>
        <w:tc>
          <w:tcPr>
            <w:tcW w:w="8603" w:type="dxa"/>
            <w:vAlign w:val="center"/>
          </w:tcPr>
          <w:p>
            <w:pPr>
              <w:spacing w:line="360" w:lineRule="exact"/>
              <w:rPr>
                <w:rFonts w:ascii="宋体" w:hAnsi="宋体" w:cs="宋体"/>
                <w:sz w:val="24"/>
              </w:rPr>
            </w:pPr>
            <w:r>
              <w:rPr>
                <w:rFonts w:hint="eastAsia" w:ascii="宋体" w:hAnsi="宋体" w:cs="宋体"/>
                <w:sz w:val="24"/>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rPr>
            </w:pPr>
            <w:r>
              <w:rPr>
                <w:rFonts w:hint="eastAsia" w:ascii="宋体" w:hAnsi="宋体" w:cs="宋体"/>
                <w:sz w:val="24"/>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rPr>
        <w:sectPr>
          <w:footerReference r:id="rId12" w:type="first"/>
          <w:footerReference r:id="rId11" w:type="default"/>
          <w:pgSz w:w="11906" w:h="16838"/>
          <w:pgMar w:top="1134" w:right="1134" w:bottom="1134" w:left="1134" w:header="851" w:footer="851" w:gutter="0"/>
          <w:cols w:space="720" w:num="1"/>
          <w:titlePg/>
          <w:docGrid w:linePitch="312" w:charSpace="0"/>
        </w:sectPr>
      </w:pPr>
    </w:p>
    <w:p>
      <w:pPr>
        <w:spacing w:before="104" w:beforeLines="20" w:after="104" w:afterLines="20" w:line="400" w:lineRule="exact"/>
        <w:jc w:val="center"/>
        <w:outlineLvl w:val="1"/>
        <w:rPr>
          <w:rFonts w:ascii="宋体" w:hAnsi="宋体"/>
          <w:b/>
          <w:sz w:val="32"/>
          <w:szCs w:val="32"/>
        </w:rPr>
      </w:pPr>
      <w:r>
        <w:rPr>
          <w:rFonts w:hint="eastAsia" w:ascii="宋体" w:hAnsi="宋体"/>
          <w:b/>
          <w:sz w:val="28"/>
          <w:szCs w:val="32"/>
        </w:rPr>
        <w:t>报价人须知</w:t>
      </w:r>
    </w:p>
    <w:p>
      <w:pPr>
        <w:pStyle w:val="15"/>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一、总　则</w:t>
      </w:r>
    </w:p>
    <w:p>
      <w:pPr>
        <w:spacing w:line="400" w:lineRule="exact"/>
        <w:ind w:firstLine="480" w:firstLineChars="200"/>
        <w:outlineLvl w:val="2"/>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sz w:val="24"/>
        </w:rPr>
      </w:pPr>
      <w:r>
        <w:rPr>
          <w:rFonts w:hint="eastAsia" w:ascii="宋体" w:hAnsi="宋体" w:cs="宋体"/>
          <w:sz w:val="24"/>
        </w:rPr>
        <w:t>本文件仅适用于广西壮族自治区信息中心“广西大数据分析公共服务平台、广西融合视频会议系统和广西惠企惠民政策兑现平台第三方软件测评服务</w:t>
      </w:r>
      <w:bookmarkStart w:id="29" w:name="_GoBack"/>
      <w:bookmarkEnd w:id="29"/>
      <w:r>
        <w:rPr>
          <w:rFonts w:hint="eastAsia" w:ascii="宋体" w:hAnsi="宋体" w:cs="宋体"/>
          <w:sz w:val="24"/>
        </w:rPr>
        <w:t>”项目采购。</w:t>
      </w:r>
    </w:p>
    <w:p>
      <w:pPr>
        <w:spacing w:line="400" w:lineRule="exact"/>
        <w:ind w:firstLine="480" w:firstLineChars="200"/>
        <w:outlineLvl w:val="2"/>
        <w:rPr>
          <w:rFonts w:ascii="宋体" w:hAnsi="宋体" w:cs="宋体"/>
          <w:sz w:val="24"/>
        </w:rPr>
      </w:pPr>
      <w:r>
        <w:rPr>
          <w:rFonts w:hint="eastAsia" w:ascii="宋体" w:hAnsi="宋体" w:cs="宋体"/>
          <w:sz w:val="24"/>
        </w:rPr>
        <w:t>2. 定义</w:t>
      </w:r>
    </w:p>
    <w:p>
      <w:pPr>
        <w:spacing w:line="400" w:lineRule="exact"/>
        <w:ind w:firstLine="480" w:firstLineChars="200"/>
        <w:rPr>
          <w:rFonts w:ascii="宋体" w:hAnsi="宋体" w:cs="宋体"/>
          <w:sz w:val="24"/>
        </w:rPr>
      </w:pPr>
      <w:r>
        <w:rPr>
          <w:rFonts w:hint="eastAsia" w:ascii="宋体" w:hAnsi="宋体" w:cs="宋体"/>
          <w:sz w:val="24"/>
        </w:rPr>
        <w:t>2.1“采购人”：广西壮族自治区信息中心 。</w:t>
      </w:r>
    </w:p>
    <w:p>
      <w:pPr>
        <w:spacing w:line="400" w:lineRule="exact"/>
        <w:ind w:firstLine="480" w:firstLineChars="200"/>
        <w:rPr>
          <w:rFonts w:ascii="宋体" w:hAnsi="宋体" w:cs="宋体"/>
          <w:sz w:val="24"/>
        </w:rPr>
      </w:pPr>
      <w:r>
        <w:rPr>
          <w:rFonts w:hint="eastAsia" w:ascii="宋体" w:hAnsi="宋体" w:cs="宋体"/>
          <w:sz w:val="24"/>
        </w:rPr>
        <w:t>2.2“报价人”系指符合本次采购项目的提交响应文件的、参与报价的单位或自然人。</w:t>
      </w:r>
    </w:p>
    <w:p>
      <w:pPr>
        <w:spacing w:line="400" w:lineRule="exact"/>
        <w:ind w:firstLine="480" w:firstLineChars="200"/>
        <w:rPr>
          <w:rFonts w:ascii="宋体" w:hAnsi="宋体" w:cs="宋体"/>
          <w:sz w:val="24"/>
        </w:rPr>
      </w:pPr>
      <w:r>
        <w:rPr>
          <w:rFonts w:hint="eastAsia" w:ascii="宋体" w:hAnsi="宋体" w:cs="宋体"/>
          <w:sz w:val="24"/>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sz w:val="24"/>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outlineLvl w:val="2"/>
        <w:rPr>
          <w:rFonts w:ascii="宋体" w:hAnsi="宋体" w:cs="宋体"/>
          <w:sz w:val="24"/>
        </w:rPr>
      </w:pPr>
      <w:r>
        <w:rPr>
          <w:rFonts w:hint="eastAsia" w:ascii="宋体" w:hAnsi="宋体" w:cs="宋体"/>
          <w:sz w:val="24"/>
        </w:rPr>
        <w:t>3.报价人的基本条件</w:t>
      </w:r>
    </w:p>
    <w:p>
      <w:pPr>
        <w:spacing w:line="400" w:lineRule="exact"/>
        <w:ind w:firstLine="480" w:firstLineChars="200"/>
        <w:jc w:val="left"/>
        <w:rPr>
          <w:rFonts w:ascii="宋体" w:hAnsi="宋体" w:cs="宋体"/>
          <w:sz w:val="24"/>
        </w:rPr>
      </w:pPr>
      <w:r>
        <w:rPr>
          <w:rFonts w:hint="eastAsia" w:ascii="宋体" w:hAnsi="宋体" w:cs="宋体"/>
          <w:sz w:val="24"/>
        </w:rPr>
        <w:t>3.1 报价人资格及要求：</w:t>
      </w:r>
    </w:p>
    <w:p>
      <w:pPr>
        <w:spacing w:line="400" w:lineRule="exact"/>
        <w:ind w:firstLine="480" w:firstLineChars="200"/>
        <w:rPr>
          <w:rFonts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cs="宋体"/>
          <w:kern w:val="0"/>
          <w:sz w:val="24"/>
        </w:rPr>
        <w:t>（2）</w:t>
      </w:r>
      <w:r>
        <w:rPr>
          <w:rFonts w:hint="eastAsia" w:ascii="宋体" w:hAnsi="宋体"/>
          <w:bCs/>
          <w:sz w:val="24"/>
        </w:rPr>
        <w:t>国内注册（指按国家有关规定要求注册的），提供本次采购服务，具备独立法人资格。</w:t>
      </w:r>
    </w:p>
    <w:p>
      <w:pPr>
        <w:spacing w:line="400" w:lineRule="exact"/>
        <w:ind w:firstLine="480" w:firstLineChars="200"/>
        <w:rPr>
          <w:rFonts w:ascii="宋体" w:hAnsi="宋体" w:cs="宋体"/>
          <w:kern w:val="0"/>
          <w:sz w:val="24"/>
        </w:rPr>
      </w:pPr>
      <w:r>
        <w:rPr>
          <w:rFonts w:hint="eastAsia" w:ascii="宋体" w:hAnsi="宋体" w:cs="宋体"/>
          <w:kern w:val="0"/>
          <w:sz w:val="24"/>
        </w:rPr>
        <w:t>（3）需具备质量技术监督局的计量认证证书（CMA证书）。</w:t>
      </w:r>
    </w:p>
    <w:p>
      <w:pPr>
        <w:spacing w:line="400" w:lineRule="exact"/>
        <w:ind w:firstLine="480" w:firstLineChars="200"/>
        <w:rPr>
          <w:rFonts w:ascii="宋体" w:hAnsi="宋体" w:cs="宋体"/>
          <w:kern w:val="0"/>
          <w:sz w:val="24"/>
        </w:rPr>
      </w:pPr>
      <w:r>
        <w:rPr>
          <w:rFonts w:hint="eastAsia" w:ascii="宋体" w:hAnsi="宋体" w:cs="宋体"/>
          <w:kern w:val="0"/>
          <w:sz w:val="24"/>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outlineLvl w:val="3"/>
      </w:pPr>
      <w:r>
        <w:rPr>
          <w:rFonts w:hint="eastAsia" w:ascii="宋体" w:hAnsi="宋体" w:cs="宋体"/>
          <w:kern w:val="0"/>
          <w:sz w:val="24"/>
        </w:rPr>
        <w:t xml:space="preserve">（5）本项目不接受联合体报价。   </w:t>
      </w:r>
    </w:p>
    <w:p>
      <w:pPr>
        <w:spacing w:line="400" w:lineRule="exact"/>
        <w:ind w:firstLine="480" w:firstLineChars="200"/>
        <w:outlineLvl w:val="2"/>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报价人应自行承担所有与编写和提交报价文件有关的费用，不论采购结果如何，采购人在任何情况下无义务和责任承担此类费用。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outlineLvl w:val="2"/>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6.2本项目可以部分分包。</w:t>
      </w:r>
    </w:p>
    <w:p>
      <w:pPr>
        <w:pStyle w:val="15"/>
        <w:numPr>
          <w:ilvl w:val="255"/>
          <w:numId w:val="0"/>
        </w:numPr>
        <w:snapToGrid w:val="0"/>
        <w:spacing w:line="400" w:lineRule="exact"/>
        <w:ind w:firstLine="482" w:firstLineChars="200"/>
        <w:outlineLvl w:val="2"/>
        <w:rPr>
          <w:rFonts w:hAnsi="宋体" w:cs="宋体"/>
          <w:b/>
          <w:sz w:val="24"/>
        </w:rPr>
      </w:pPr>
      <w:bookmarkStart w:id="0" w:name="_Toc254970532"/>
      <w:bookmarkStart w:id="1" w:name="_Toc254970673"/>
      <w:r>
        <w:rPr>
          <w:rFonts w:hint="eastAsia" w:hAnsi="宋体" w:cs="宋体"/>
          <w:b/>
          <w:sz w:val="24"/>
        </w:rPr>
        <w:t xml:space="preserve">7.特别说明 </w:t>
      </w:r>
    </w:p>
    <w:bookmarkEnd w:id="0"/>
    <w:bookmarkEnd w:id="1"/>
    <w:p>
      <w:pPr>
        <w:pStyle w:val="15"/>
        <w:snapToGrid w:val="0"/>
        <w:spacing w:line="400" w:lineRule="exact"/>
        <w:ind w:firstLine="480" w:firstLineChars="200"/>
        <w:outlineLvl w:val="1"/>
        <w:rPr>
          <w:rFonts w:hAnsi="宋体" w:cs="宋体"/>
          <w:sz w:val="24"/>
        </w:rPr>
      </w:pPr>
      <w:r>
        <w:rPr>
          <w:rFonts w:hint="eastAsia" w:hAnsi="宋体" w:cs="宋体"/>
          <w:sz w:val="24"/>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7.2报价人报价所使用的资格、信誉、荣誉、业绩与企业认证必须为本法人所拥有。报价人报价所使用的采购项目实施人员必须为本法人员工（或必须为本法人或控股公司正式员工）。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7.3报价人应仔细阅读采购文件的所有内容，按照采购文件的要求提交响应文件，并对所提供的全部资料的真实性承担法律责任。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rPr>
      </w:pPr>
      <w:r>
        <w:rPr>
          <w:rFonts w:hint="eastAsia" w:hAnsi="宋体" w:cs="宋体"/>
          <w:sz w:val="24"/>
          <w:szCs w:val="24"/>
        </w:rPr>
        <w:t>7.4报价人提供任何虚假材料,其报价无效；成交后发现的,成交人须依照《中华人民共和国消费者权益保护法》第49条之规定双倍赔偿采购人，且民事赔偿并不免除违法报价人的行政与刑事责任。</w:t>
      </w:r>
    </w:p>
    <w:p>
      <w:pPr>
        <w:pStyle w:val="15"/>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二、采购文件</w:t>
      </w:r>
    </w:p>
    <w:p>
      <w:pPr>
        <w:pStyle w:val="15"/>
        <w:snapToGrid w:val="0"/>
        <w:spacing w:line="400" w:lineRule="exact"/>
        <w:ind w:firstLine="482" w:firstLineChars="200"/>
        <w:outlineLvl w:val="2"/>
        <w:rPr>
          <w:rFonts w:hAnsi="宋体" w:cs="宋体"/>
          <w:b/>
          <w:sz w:val="24"/>
          <w:szCs w:val="24"/>
        </w:rPr>
      </w:pPr>
      <w:r>
        <w:rPr>
          <w:rFonts w:hint="eastAsia" w:hAnsi="宋体" w:cs="宋体"/>
          <w:b/>
          <w:sz w:val="24"/>
          <w:szCs w:val="24"/>
        </w:rPr>
        <w:t>8.采购文件构成</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8.2报价人须知及前附表；</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5"/>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5"/>
        <w:spacing w:line="400" w:lineRule="exact"/>
        <w:ind w:firstLine="472" w:firstLineChars="196"/>
        <w:outlineLvl w:val="2"/>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5"/>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5"/>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5"/>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5"/>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5"/>
        <w:snapToGrid w:val="0"/>
        <w:spacing w:before="104" w:beforeLines="20" w:after="104" w:afterLines="20" w:line="400" w:lineRule="exact"/>
        <w:ind w:firstLine="482" w:firstLineChars="200"/>
        <w:jc w:val="center"/>
        <w:outlineLvl w:val="1"/>
        <w:rPr>
          <w:rFonts w:hAnsi="宋体" w:cs="宋体"/>
          <w:b/>
          <w:sz w:val="24"/>
          <w:szCs w:val="24"/>
        </w:rPr>
      </w:pPr>
      <w:r>
        <w:rPr>
          <w:rFonts w:hint="eastAsia" w:hAnsi="宋体" w:cs="宋体"/>
          <w:b/>
          <w:sz w:val="24"/>
          <w:szCs w:val="24"/>
        </w:rPr>
        <w:t>三、响应文件</w:t>
      </w:r>
    </w:p>
    <w:p>
      <w:pPr>
        <w:spacing w:line="400" w:lineRule="exact"/>
        <w:ind w:firstLine="482" w:firstLineChars="200"/>
        <w:outlineLvl w:val="2"/>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color w:val="000000"/>
          <w:sz w:val="24"/>
        </w:rPr>
      </w:pPr>
      <w:r>
        <w:rPr>
          <w:rFonts w:hint="eastAsia" w:ascii="宋体" w:hAnsi="宋体" w:cs="宋体"/>
          <w:sz w:val="24"/>
        </w:rPr>
        <w:t>商务部分是证明报价人有资格参加报价和成交后有能力履行服务的文件，这些文件应能</w:t>
      </w:r>
      <w:r>
        <w:rPr>
          <w:rFonts w:hint="eastAsia" w:ascii="宋体" w:hAnsi="宋体" w:cs="宋体"/>
          <w:color w:val="000000"/>
          <w:sz w:val="24"/>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rPr>
      </w:pPr>
      <w:r>
        <w:rPr>
          <w:rFonts w:hint="eastAsia" w:ascii="宋体" w:hAnsi="宋体" w:cs="宋体"/>
          <w:color w:val="000000"/>
          <w:sz w:val="24"/>
        </w:rPr>
        <w:t>▲（1）报价声明书（格式见第五章）；</w:t>
      </w:r>
    </w:p>
    <w:p>
      <w:pPr>
        <w:spacing w:line="400" w:lineRule="exact"/>
        <w:ind w:firstLine="480" w:firstLineChars="200"/>
        <w:rPr>
          <w:rFonts w:ascii="宋体" w:hAnsi="宋体" w:cs="宋体"/>
          <w:color w:val="000000"/>
          <w:sz w:val="24"/>
        </w:rPr>
      </w:pPr>
      <w:r>
        <w:rPr>
          <w:rFonts w:hint="eastAsia" w:ascii="宋体" w:hAnsi="宋体" w:cs="宋体"/>
          <w:color w:val="000000"/>
          <w:sz w:val="24"/>
        </w:rPr>
        <w:t>▲（2）有效的营业执照副本复印件（对于有经营资质要求的，报价人必须提供有效的经营资质证书内页复印件；如报价人提供其他服务机构的服务时，还须提供其他服务机构的有效授权书原件）；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color w:val="000000"/>
          <w:sz w:val="24"/>
        </w:rPr>
        <w:t>▲（3）有效的法定代表人（负责人）身份证正反面复印件（如法定代表人（负责人）非中国国籍应提交护照复印件，要求证件有效并与营业执照中的法定代</w:t>
      </w:r>
      <w:r>
        <w:rPr>
          <w:rFonts w:hint="eastAsia" w:ascii="宋体" w:hAnsi="宋体" w:cs="宋体"/>
          <w:sz w:val="24"/>
        </w:rPr>
        <w:t>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1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rPr>
      </w:pPr>
      <w:r>
        <w:rPr>
          <w:rFonts w:hint="eastAsia" w:ascii="宋体" w:hAnsi="宋体" w:cs="宋体"/>
          <w:sz w:val="24"/>
        </w:rPr>
        <w:t>▲（10）报价人主体信用记录查询结果截图（加盖报价人单位公章）；</w:t>
      </w:r>
    </w:p>
    <w:p>
      <w:pPr>
        <w:spacing w:line="400" w:lineRule="exact"/>
        <w:ind w:firstLine="480" w:firstLineChars="200"/>
        <w:rPr>
          <w:rFonts w:ascii="宋体" w:hAnsi="宋体" w:cs="宋体"/>
          <w:sz w:val="24"/>
        </w:rPr>
      </w:pPr>
      <w:r>
        <w:rPr>
          <w:rFonts w:hint="eastAsia" w:ascii="宋体" w:hAnsi="宋体" w:cs="宋体"/>
          <w:sz w:val="24"/>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▲（11）商务响应表（格式见第五章）；</w:t>
      </w:r>
    </w:p>
    <w:p>
      <w:pPr>
        <w:spacing w:line="400" w:lineRule="exact"/>
        <w:ind w:firstLine="480" w:firstLineChars="200"/>
        <w:rPr>
          <w:rFonts w:ascii="宋体" w:hAnsi="宋体" w:cs="宋体"/>
          <w:sz w:val="24"/>
        </w:rPr>
      </w:pPr>
      <w:r>
        <w:rPr>
          <w:rFonts w:hint="eastAsia" w:ascii="宋体" w:hAnsi="宋体" w:cs="宋体"/>
          <w:sz w:val="24"/>
        </w:rPr>
        <w:t>▲（12）服务承诺书（格式自拟）；</w:t>
      </w:r>
    </w:p>
    <w:p>
      <w:pPr>
        <w:spacing w:line="400" w:lineRule="exact"/>
        <w:ind w:firstLine="480" w:firstLineChars="200"/>
        <w:rPr>
          <w:rFonts w:ascii="宋体" w:hAnsi="宋体" w:cs="宋体"/>
          <w:sz w:val="24"/>
        </w:rPr>
      </w:pPr>
      <w:r>
        <w:rPr>
          <w:rFonts w:hint="eastAsia" w:ascii="宋体" w:hAnsi="宋体" w:cs="宋体"/>
          <w:sz w:val="24"/>
        </w:rPr>
        <w:t>可作为报价人资信评判的资质证明材料（如有）：</w:t>
      </w:r>
    </w:p>
    <w:p>
      <w:pPr>
        <w:spacing w:line="400" w:lineRule="exact"/>
        <w:ind w:firstLine="480" w:firstLineChars="200"/>
        <w:rPr>
          <w:rFonts w:ascii="宋体" w:hAnsi="宋体" w:cs="宋体"/>
          <w:sz w:val="24"/>
        </w:rPr>
      </w:pPr>
      <w:r>
        <w:rPr>
          <w:rFonts w:hint="eastAsia" w:ascii="宋体" w:hAnsi="宋体" w:cs="宋体"/>
          <w:sz w:val="24"/>
        </w:rPr>
        <w:t>（13）报价人的类似成功案例的业绩证明文件（报价人同类项目实施情况一览表、中标/成交通知书复印件或有效合同复印件并加盖单位公章，格式可自拟）；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服务方案</w:t>
      </w:r>
      <w:r>
        <w:rPr>
          <w:rFonts w:hint="eastAsia" w:ascii="宋体" w:hAnsi="宋体" w:cs="宋体"/>
          <w:sz w:val="24"/>
        </w:rPr>
        <w:t>；</w:t>
      </w:r>
    </w:p>
    <w:p>
      <w:pPr>
        <w:spacing w:line="400" w:lineRule="exact"/>
        <w:ind w:firstLine="480" w:firstLineChars="200"/>
        <w:rPr>
          <w:rFonts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）项目实施人员一览表（格式见第五章）；</w:t>
      </w:r>
    </w:p>
    <w:p>
      <w:pPr>
        <w:spacing w:line="400" w:lineRule="exact"/>
        <w:ind w:firstLine="480" w:firstLineChars="200"/>
        <w:outlineLvl w:val="3"/>
        <w:rPr>
          <w:rFonts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）报价人认为需要提供的其他证明材料（格式自拟）；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outlineLvl w:val="3"/>
        <w:rPr>
          <w:rFonts w:ascii="宋体" w:hAnsi="宋体" w:cs="宋体"/>
          <w:sz w:val="24"/>
        </w:rPr>
      </w:pPr>
      <w:r>
        <w:rPr>
          <w:rFonts w:hint="eastAsia" w:ascii="宋体" w:hAnsi="宋体" w:cs="宋体"/>
          <w:sz w:val="24"/>
        </w:rPr>
        <w:t>（3）报价人针对报价需要说明的其他文件和说明（格式自拟）。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▲注：所提供的以上任一材料，均须加盖报价人公章且按采购文件格式要求签字，否则视为无效材料。</w:t>
      </w:r>
    </w:p>
    <w:p>
      <w:pPr>
        <w:pStyle w:val="2"/>
        <w:spacing w:line="400" w:lineRule="exact"/>
        <w:outlineLvl w:val="2"/>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spacing w:line="400" w:lineRule="exact"/>
        <w:ind w:firstLine="480" w:firstLineChars="200"/>
        <w:rPr>
          <w:rFonts w:ascii="宋体" w:hAnsi="宋体" w:cs="宋体"/>
          <w:sz w:val="24"/>
        </w:rPr>
      </w:pPr>
      <w:r>
        <w:rPr>
          <w:rFonts w:hint="eastAsia" w:ascii="宋体" w:hAnsi="宋体" w:cs="宋体"/>
          <w:sz w:val="24"/>
        </w:rPr>
        <w:t>11.1报价人对响应文件的编制应按要求装订和封装。</w:t>
      </w:r>
    </w:p>
    <w:p>
      <w:pPr>
        <w:spacing w:line="400" w:lineRule="exact"/>
        <w:ind w:firstLine="480" w:firstLineChars="200"/>
        <w:rPr>
          <w:rFonts w:ascii="宋体" w:hAnsi="宋体" w:cs="宋体"/>
          <w:sz w:val="24"/>
        </w:rPr>
      </w:pPr>
      <w:r>
        <w:rPr>
          <w:rFonts w:hint="eastAsia" w:ascii="宋体" w:hAnsi="宋体" w:cs="宋体"/>
          <w:sz w:val="24"/>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rPr>
      </w:pPr>
      <w:r>
        <w:rPr>
          <w:rFonts w:hint="eastAsia" w:ascii="宋体" w:hAnsi="宋体" w:cs="宋体"/>
          <w:sz w:val="24"/>
        </w:rPr>
        <w:t>11.3报价人应认真阅读并充分理解本文件的全部内容（包括所有的补充通知和修改内容），承诺并履行本文件中各项条款的规定及要求。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rPr>
      </w:pPr>
      <w:r>
        <w:rPr>
          <w:rFonts w:hint="eastAsia" w:ascii="宋体" w:hAnsi="宋体" w:cs="宋体"/>
          <w:sz w:val="24"/>
        </w:rPr>
        <w:t>11.4响应文件必须按本文件的全部内容，包括所有的补充通知、修改内容及附件进行编制。</w:t>
      </w:r>
    </w:p>
    <w:p>
      <w:pPr>
        <w:spacing w:line="400" w:lineRule="exact"/>
        <w:ind w:firstLine="480" w:firstLineChars="200"/>
      </w:pPr>
      <w:r>
        <w:rPr>
          <w:rFonts w:hint="eastAsia" w:ascii="宋体" w:hAnsi="宋体" w:cs="宋体"/>
          <w:sz w:val="24"/>
        </w:rPr>
        <w:t>11.5如因报价人只填写和提供了本文件要求的部分内容和附件，而给评审造成困难，其可能导致的结果和责任由报价人自行承担。</w:t>
      </w:r>
    </w:p>
    <w:p>
      <w:pPr>
        <w:spacing w:line="400" w:lineRule="exact"/>
        <w:ind w:firstLine="482" w:firstLineChars="200"/>
        <w:outlineLvl w:val="2"/>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outlineLvl w:val="2"/>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rPr>
      </w:pPr>
      <w:r>
        <w:rPr>
          <w:rFonts w:hint="eastAsia" w:ascii="宋体" w:hAnsi="宋体" w:cs="宋体"/>
          <w:sz w:val="24"/>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四、响应文件的递交</w:t>
      </w:r>
    </w:p>
    <w:p>
      <w:pPr>
        <w:spacing w:line="400" w:lineRule="exact"/>
        <w:ind w:firstLine="482" w:firstLineChars="200"/>
        <w:outlineLvl w:val="2"/>
        <w:rPr>
          <w:rFonts w:ascii="宋体" w:hAnsi="宋体" w:cs="宋体"/>
          <w:b/>
          <w:sz w:val="24"/>
        </w:rPr>
      </w:pPr>
      <w:r>
        <w:rPr>
          <w:rFonts w:ascii="宋体" w:hAnsi="宋体" w:cs="宋体"/>
          <w:b/>
          <w:sz w:val="24"/>
        </w:rPr>
        <w:t>14</w:t>
      </w:r>
      <w:r>
        <w:rPr>
          <w:rFonts w:hint="eastAsia" w:ascii="宋体" w:hAnsi="宋体" w:cs="宋体"/>
          <w:b/>
          <w:sz w:val="24"/>
        </w:rPr>
        <w:t>.响应文件的递交</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.1所有响应文件须按采购公告规定的时间前递交到指定地点。</w:t>
      </w:r>
    </w:p>
    <w:p>
      <w:pPr>
        <w:spacing w:line="400" w:lineRule="exact"/>
        <w:ind w:firstLine="482" w:firstLineChars="200"/>
        <w:outlineLvl w:val="2"/>
        <w:rPr>
          <w:rFonts w:ascii="宋体" w:hAnsi="宋体" w:cs="宋体"/>
          <w:b/>
          <w:sz w:val="24"/>
        </w:rPr>
      </w:pPr>
      <w:r>
        <w:rPr>
          <w:rFonts w:ascii="宋体" w:hAnsi="宋体" w:cs="宋体"/>
          <w:b/>
          <w:sz w:val="24"/>
        </w:rPr>
        <w:t>15</w:t>
      </w:r>
      <w:r>
        <w:rPr>
          <w:rFonts w:hint="eastAsia" w:ascii="宋体" w:hAnsi="宋体" w:cs="宋体"/>
          <w:b/>
          <w:sz w:val="24"/>
        </w:rPr>
        <w:t>.迟交的响应文件</w:t>
      </w:r>
    </w:p>
    <w:p>
      <w:pPr>
        <w:spacing w:line="400" w:lineRule="exact"/>
        <w:ind w:firstLine="480" w:firstLineChars="200"/>
      </w:pPr>
      <w:r>
        <w:rPr>
          <w:rFonts w:hint="eastAsia" w:ascii="宋体" w:hAnsi="宋体" w:cs="宋体"/>
          <w:sz w:val="24"/>
        </w:rPr>
        <w:t>按《中华人民共和国政府采购法》的规定，采购人将拒绝或原封退回在其规定的递交响应文件截止时间之后收到的任何响应文件。</w:t>
      </w:r>
    </w:p>
    <w:p>
      <w:pPr>
        <w:pStyle w:val="15"/>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五、项目评审</w:t>
      </w:r>
    </w:p>
    <w:p>
      <w:pPr>
        <w:spacing w:line="400" w:lineRule="exact"/>
        <w:ind w:firstLine="482" w:firstLineChars="200"/>
        <w:outlineLvl w:val="2"/>
        <w:rPr>
          <w:rFonts w:ascii="宋体" w:hAnsi="宋体" w:cs="宋体"/>
          <w:b/>
          <w:sz w:val="24"/>
        </w:rPr>
      </w:pPr>
      <w:bookmarkStart w:id="2" w:name="_Toc304876596"/>
      <w:r>
        <w:rPr>
          <w:rFonts w:ascii="宋体" w:hAnsi="宋体" w:cs="宋体"/>
          <w:b/>
          <w:sz w:val="24"/>
        </w:rPr>
        <w:t>16</w:t>
      </w:r>
      <w:r>
        <w:rPr>
          <w:rFonts w:hint="eastAsia" w:ascii="宋体" w:hAnsi="宋体" w:cs="宋体"/>
          <w:b/>
          <w:sz w:val="24"/>
        </w:rPr>
        <w:t>.报价无效的情形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outlineLvl w:val="3"/>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outlineLvl w:val="3"/>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（3）与其他参加本次报价的报价人的响应文件（技术文件）的差错相同二处以上的。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6.3在报价评审时，如发现下列情形之一的，响应文件将被视为无效：</w:t>
      </w:r>
    </w:p>
    <w:p>
      <w:pPr>
        <w:spacing w:line="400" w:lineRule="exact"/>
        <w:ind w:firstLine="480" w:firstLineChars="200"/>
        <w:outlineLvl w:val="3"/>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（4）报价人未就全部内容作完整唯一报价的，或有漏项报价的或有选择的或有条件的报价的。</w:t>
      </w:r>
    </w:p>
    <w:bookmarkEnd w:id="2"/>
    <w:p>
      <w:pPr>
        <w:pStyle w:val="15"/>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六、其他事项</w:t>
      </w:r>
    </w:p>
    <w:p>
      <w:pPr>
        <w:pStyle w:val="15"/>
        <w:spacing w:line="400" w:lineRule="exact"/>
        <w:ind w:firstLine="420"/>
        <w:outlineLvl w:val="2"/>
        <w:rPr>
          <w:rFonts w:hAnsi="宋体" w:cs="宋体"/>
          <w:b/>
          <w:sz w:val="24"/>
          <w:szCs w:val="24"/>
        </w:rPr>
      </w:pPr>
      <w:r>
        <w:rPr>
          <w:rFonts w:hAnsi="宋体" w:cs="宋体"/>
          <w:b/>
          <w:sz w:val="24"/>
          <w:szCs w:val="24"/>
        </w:rPr>
        <w:t>1</w:t>
      </w:r>
      <w:r>
        <w:rPr>
          <w:rFonts w:hint="eastAsia" w:hAnsi="宋体" w:cs="宋体"/>
          <w:b/>
          <w:sz w:val="24"/>
          <w:szCs w:val="24"/>
        </w:rPr>
        <w:t>7.适用法律</w:t>
      </w:r>
    </w:p>
    <w:p>
      <w:pPr>
        <w:pStyle w:val="15"/>
        <w:spacing w:line="400" w:lineRule="exact"/>
        <w:ind w:firstLine="420"/>
        <w:rPr>
          <w:rFonts w:hAnsi="宋体" w:cs="宋体"/>
          <w:sz w:val="24"/>
          <w:szCs w:val="24"/>
        </w:rPr>
      </w:pPr>
      <w:r>
        <w:rPr>
          <w:rFonts w:hAnsi="宋体" w:cs="宋体"/>
          <w:b/>
          <w:sz w:val="24"/>
          <w:szCs w:val="24"/>
        </w:rPr>
        <w:t>1</w:t>
      </w:r>
      <w:r>
        <w:rPr>
          <w:rFonts w:hint="eastAsia" w:hAnsi="宋体" w:cs="宋体"/>
          <w:b/>
          <w:sz w:val="24"/>
          <w:szCs w:val="24"/>
        </w:rPr>
        <w:t>7.1</w:t>
      </w:r>
      <w:r>
        <w:rPr>
          <w:rFonts w:hint="eastAsia" w:hAnsi="宋体" w:cs="宋体"/>
          <w:sz w:val="24"/>
          <w:szCs w:val="24"/>
        </w:rPr>
        <w:t>采购当事人的一切活动均适用于《中华人民共和国政府采购法》及相关规定。</w:t>
      </w:r>
    </w:p>
    <w:p>
      <w:pPr>
        <w:pStyle w:val="15"/>
        <w:snapToGrid w:val="0"/>
        <w:spacing w:line="400" w:lineRule="exact"/>
        <w:ind w:firstLine="562" w:firstLineChars="200"/>
        <w:jc w:val="center"/>
        <w:outlineLvl w:val="0"/>
        <w:rPr>
          <w:rFonts w:hAnsi="宋体"/>
          <w:b/>
          <w:sz w:val="32"/>
          <w:szCs w:val="32"/>
        </w:rPr>
      </w:pPr>
      <w:r>
        <w:rPr>
          <w:rFonts w:hint="eastAsia" w:hAnsi="宋体"/>
          <w:b/>
          <w:sz w:val="28"/>
          <w:szCs w:val="32"/>
        </w:rPr>
        <w:br w:type="textWrapping"/>
      </w:r>
      <w:r>
        <w:rPr>
          <w:rFonts w:hint="eastAsia" w:hAnsi="宋体"/>
          <w:b/>
          <w:sz w:val="28"/>
          <w:szCs w:val="32"/>
        </w:rPr>
        <w:br w:type="page"/>
      </w:r>
      <w:r>
        <w:rPr>
          <w:rFonts w:hint="eastAsia" w:hAnsi="宋体"/>
          <w:b/>
          <w:sz w:val="28"/>
          <w:szCs w:val="32"/>
        </w:rPr>
        <w:t>第三章 服务需求及说明</w:t>
      </w:r>
    </w:p>
    <w:p>
      <w:pPr>
        <w:pStyle w:val="15"/>
        <w:spacing w:line="400" w:lineRule="exact"/>
        <w:ind w:firstLine="420"/>
        <w:outlineLvl w:val="1"/>
        <w:rPr>
          <w:rFonts w:hAnsi="宋体" w:cs="宋体"/>
          <w:sz w:val="24"/>
          <w:szCs w:val="24"/>
        </w:rPr>
      </w:pPr>
      <w:r>
        <w:rPr>
          <w:rFonts w:hAnsi="宋体" w:cs="宋体"/>
          <w:sz w:val="24"/>
          <w:szCs w:val="24"/>
        </w:rPr>
        <w:t>一、说明：</w:t>
      </w:r>
    </w:p>
    <w:p>
      <w:pPr>
        <w:pStyle w:val="15"/>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报价人</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5"/>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报价人</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5"/>
        <w:spacing w:line="400" w:lineRule="exact"/>
        <w:ind w:firstLine="420"/>
        <w:outlineLvl w:val="1"/>
        <w:rPr>
          <w:rFonts w:hAnsi="宋体" w:cs="宋体"/>
          <w:sz w:val="24"/>
          <w:szCs w:val="24"/>
        </w:rPr>
      </w:pPr>
      <w:r>
        <w:rPr>
          <w:rFonts w:hAnsi="宋体" w:cs="宋体"/>
          <w:sz w:val="24"/>
          <w:szCs w:val="24"/>
        </w:rPr>
        <w:t>二、采购内容：</w:t>
      </w:r>
    </w:p>
    <w:tbl>
      <w:tblPr>
        <w:tblStyle w:val="28"/>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66"/>
        <w:gridCol w:w="1134"/>
        <w:gridCol w:w="7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sz w:val="24"/>
              </w:rPr>
            </w:pPr>
            <w:r>
              <w:rPr>
                <w:rFonts w:hint="eastAsia" w:ascii="宋体" w:hAnsi="宋体" w:cs="宋体"/>
                <w:b/>
                <w:sz w:val="24"/>
              </w:rPr>
              <w:t>项号</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sz w:val="24"/>
              </w:rPr>
            </w:pPr>
            <w:r>
              <w:rPr>
                <w:rFonts w:hint="eastAsia" w:ascii="宋体" w:hAnsi="宋体" w:cs="宋体"/>
                <w:b/>
                <w:sz w:val="24"/>
              </w:rPr>
              <w:t>服务</w:t>
            </w:r>
          </w:p>
          <w:p>
            <w:pPr>
              <w:spacing w:line="380" w:lineRule="exact"/>
              <w:jc w:val="center"/>
              <w:rPr>
                <w:rFonts w:ascii="宋体" w:hAnsi="宋体" w:cs="宋体"/>
                <w:b/>
                <w:sz w:val="24"/>
              </w:rPr>
            </w:pPr>
            <w:r>
              <w:rPr>
                <w:rFonts w:hint="eastAsia" w:ascii="宋体" w:hAnsi="宋体" w:cs="宋体"/>
                <w:b/>
                <w:sz w:val="24"/>
              </w:rPr>
              <w:t>名称</w:t>
            </w:r>
          </w:p>
        </w:tc>
        <w:tc>
          <w:tcPr>
            <w:tcW w:w="727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sz w:val="24"/>
              </w:rPr>
            </w:pPr>
            <w:r>
              <w:rPr>
                <w:rFonts w:hint="eastAsia" w:ascii="宋体" w:hAnsi="宋体" w:cs="宋体"/>
                <w:b/>
                <w:sz w:val="24"/>
              </w:rPr>
              <w:t>服务内容和要求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spacing w:line="380" w:lineRule="exact"/>
              <w:ind w:firstLine="120" w:firstLineChars="50"/>
              <w:rPr>
                <w:rFonts w:ascii="宋体" w:hAnsi="宋体" w:cs="宋体"/>
                <w:sz w:val="24"/>
              </w:rPr>
            </w:pPr>
            <w:r>
              <w:rPr>
                <w:rFonts w:hint="eastAsia" w:ascii="宋体" w:hAnsi="宋体" w:cs="宋体"/>
                <w:sz w:val="24"/>
              </w:rPr>
              <w:t>1</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bCs/>
                <w:sz w:val="24"/>
              </w:rPr>
              <w:t>广西大数据分析公共服务平台、广西融合视频会议系统和广西惠企惠民政策兑现平台第三方软件测评服务</w:t>
            </w:r>
          </w:p>
        </w:tc>
        <w:tc>
          <w:tcPr>
            <w:tcW w:w="7278" w:type="dxa"/>
            <w:tcBorders>
              <w:top w:val="single" w:color="auto" w:sz="4" w:space="0"/>
              <w:left w:val="single" w:color="auto" w:sz="4" w:space="0"/>
              <w:bottom w:val="single" w:color="auto" w:sz="4" w:space="0"/>
              <w:right w:val="single" w:color="auto" w:sz="4" w:space="0"/>
            </w:tcBorders>
          </w:tcPr>
          <w:p>
            <w:pPr>
              <w:spacing w:line="380" w:lineRule="exact"/>
              <w:jc w:val="left"/>
              <w:rPr>
                <w:rFonts w:ascii="宋体" w:hAnsi="宋体" w:cs="宋体"/>
                <w:b/>
                <w:bCs/>
                <w:sz w:val="24"/>
              </w:rPr>
            </w:pPr>
            <w:r>
              <w:rPr>
                <w:rFonts w:hint="eastAsia" w:ascii="宋体" w:hAnsi="宋体" w:cs="宋体"/>
                <w:b/>
                <w:bCs/>
                <w:sz w:val="24"/>
              </w:rPr>
              <w:t>一、总体要求</w:t>
            </w:r>
          </w:p>
          <w:p>
            <w:pPr>
              <w:snapToGrid w:val="0"/>
              <w:spacing w:line="380" w:lineRule="exact"/>
              <w:ind w:firstLine="480" w:firstLineChars="200"/>
              <w:jc w:val="left"/>
              <w:outlineLvl w:val="0"/>
              <w:rPr>
                <w:rFonts w:ascii="宋体" w:hAnsi="宋体" w:cs="宋体"/>
                <w:sz w:val="24"/>
              </w:rPr>
            </w:pPr>
            <w:r>
              <w:rPr>
                <w:rFonts w:hint="eastAsia" w:ascii="宋体" w:hAnsi="宋体" w:cs="宋体"/>
                <w:sz w:val="24"/>
              </w:rPr>
              <w:t>对</w:t>
            </w:r>
            <w:r>
              <w:rPr>
                <w:rFonts w:hint="eastAsia" w:ascii="宋体" w:hAnsi="宋体" w:cs="宋体"/>
                <w:bCs/>
                <w:sz w:val="24"/>
              </w:rPr>
              <w:t>广西大数据分析公共服务平台、广西融合视频会议系统和广西惠企惠民政策兑现平台</w:t>
            </w:r>
            <w:r>
              <w:rPr>
                <w:rFonts w:hint="eastAsia" w:ascii="宋体" w:hAnsi="宋体" w:cs="宋体"/>
                <w:sz w:val="24"/>
              </w:rPr>
              <w:t>开展第三方软件测评服务。测评内容包含软件功能性、性能效率、可靠性、易用性、兼容性、维护性、可移植性、信息安全性和源代码安全漏洞及缺陷。</w:t>
            </w:r>
          </w:p>
          <w:p>
            <w:pPr>
              <w:spacing w:line="380" w:lineRule="exact"/>
              <w:jc w:val="left"/>
              <w:rPr>
                <w:rFonts w:ascii="宋体" w:hAnsi="宋体" w:cs="宋体"/>
                <w:b/>
                <w:bCs/>
                <w:sz w:val="24"/>
              </w:rPr>
            </w:pPr>
            <w:r>
              <w:rPr>
                <w:rFonts w:hint="eastAsia" w:ascii="宋体" w:hAnsi="宋体" w:cs="宋体"/>
                <w:b/>
                <w:bCs/>
                <w:sz w:val="24"/>
              </w:rPr>
              <w:t>二、依据标准</w:t>
            </w:r>
          </w:p>
          <w:p>
            <w:pPr>
              <w:snapToGrid w:val="0"/>
              <w:spacing w:line="380" w:lineRule="exact"/>
              <w:ind w:firstLine="480" w:firstLineChars="200"/>
              <w:jc w:val="left"/>
              <w:outlineLvl w:val="0"/>
              <w:rPr>
                <w:rFonts w:ascii="宋体" w:hAnsi="宋体" w:cs="宋体"/>
                <w:sz w:val="24"/>
              </w:rPr>
            </w:pPr>
            <w:r>
              <w:rPr>
                <w:rFonts w:hint="eastAsia" w:ascii="宋体" w:hAnsi="宋体" w:cs="宋体"/>
                <w:sz w:val="24"/>
              </w:rPr>
              <w:t>（1）GB/T 25000.51-2016系统与软件工程 系统与软件质量要求和评价（SQuaRE）第51部分：就绪可用软件产品（RUSP）的质量要求和测试细则；</w:t>
            </w:r>
          </w:p>
          <w:p>
            <w:pPr>
              <w:snapToGrid w:val="0"/>
              <w:spacing w:line="380" w:lineRule="exact"/>
              <w:ind w:firstLine="480" w:firstLineChars="200"/>
              <w:jc w:val="left"/>
              <w:outlineLvl w:val="0"/>
              <w:rPr>
                <w:rFonts w:ascii="宋体" w:hAnsi="宋体" w:cs="宋体"/>
                <w:sz w:val="24"/>
              </w:rPr>
            </w:pPr>
            <w:r>
              <w:rPr>
                <w:rFonts w:hint="eastAsia" w:ascii="宋体" w:hAnsi="宋体" w:cs="宋体"/>
                <w:sz w:val="24"/>
              </w:rPr>
              <w:t>（2）GB/T 34944-2017《Java语言源代码漏洞测试规范》；</w:t>
            </w:r>
          </w:p>
          <w:p>
            <w:pPr>
              <w:snapToGrid w:val="0"/>
              <w:spacing w:line="380" w:lineRule="exact"/>
              <w:ind w:firstLine="480" w:firstLineChars="200"/>
              <w:jc w:val="left"/>
              <w:outlineLvl w:val="0"/>
              <w:rPr>
                <w:rFonts w:ascii="宋体" w:hAnsi="宋体" w:cs="宋体"/>
                <w:sz w:val="24"/>
              </w:rPr>
            </w:pPr>
            <w:r>
              <w:rPr>
                <w:rFonts w:hint="eastAsia" w:ascii="宋体" w:hAnsi="宋体" w:cs="宋体"/>
                <w:sz w:val="24"/>
              </w:rPr>
              <w:t>（3）SJ/T 11683-2017《Java 语言源代码缺陷控制与测试指南》。</w:t>
            </w:r>
          </w:p>
          <w:p>
            <w:pPr>
              <w:spacing w:line="380" w:lineRule="exact"/>
              <w:jc w:val="left"/>
              <w:rPr>
                <w:rFonts w:ascii="宋体" w:hAnsi="宋体" w:cs="宋体"/>
                <w:b/>
                <w:bCs/>
                <w:sz w:val="24"/>
              </w:rPr>
            </w:pPr>
            <w:r>
              <w:rPr>
                <w:rFonts w:hint="eastAsia" w:ascii="宋体" w:hAnsi="宋体" w:cs="宋体"/>
                <w:b/>
                <w:bCs/>
                <w:sz w:val="24"/>
              </w:rPr>
              <w:t>三、测评方法</w:t>
            </w:r>
          </w:p>
          <w:p>
            <w:pPr>
              <w:ind w:firstLine="480" w:firstLineChars="200"/>
              <w:jc w:val="left"/>
              <w:rPr>
                <w:rFonts w:ascii="宋体" w:hAnsi="宋体" w:cs="宋体"/>
                <w:bCs/>
                <w:sz w:val="24"/>
              </w:rPr>
            </w:pPr>
            <w:r>
              <w:rPr>
                <w:rFonts w:hint="eastAsia" w:ascii="宋体" w:hAnsi="宋体" w:cs="宋体"/>
                <w:bCs/>
                <w:sz w:val="24"/>
              </w:rPr>
              <w:t>在测评实施过程中，应采用人工黑盒、自动化测试方法进行，并与国家相关规范及标准要求相符。</w:t>
            </w:r>
          </w:p>
          <w:p>
            <w:pPr>
              <w:numPr>
                <w:ilvl w:val="0"/>
                <w:numId w:val="4"/>
              </w:numPr>
              <w:jc w:val="left"/>
              <w:rPr>
                <w:rFonts w:ascii="宋体" w:hAnsi="宋体" w:cs="宋体"/>
                <w:b/>
                <w:bCs/>
                <w:sz w:val="24"/>
              </w:rPr>
            </w:pPr>
            <w:r>
              <w:rPr>
                <w:rFonts w:hint="eastAsia" w:ascii="宋体" w:hAnsi="宋体" w:cs="宋体"/>
                <w:b/>
                <w:bCs/>
                <w:sz w:val="24"/>
              </w:rPr>
              <w:t>测评内容</w:t>
            </w:r>
          </w:p>
          <w:p>
            <w:pPr>
              <w:pStyle w:val="12"/>
              <w:jc w:val="left"/>
            </w:pPr>
            <w:r>
              <w:rPr>
                <w:rFonts w:hint="eastAsia"/>
              </w:rPr>
              <w:t>(1)功能性测评</w:t>
            </w:r>
          </w:p>
          <w:p>
            <w:pPr>
              <w:pStyle w:val="12"/>
              <w:ind w:firstLine="420" w:firstLineChars="0"/>
              <w:jc w:val="left"/>
            </w:pPr>
            <w:r>
              <w:rPr>
                <w:rFonts w:hint="eastAsia"/>
              </w:rPr>
              <w:t>测试各系统功能操作、业务流程操作是否正确、准确，功能实现是否完整，以及与其他系统的交互是否有问题。测试时对软件的每个组成部分中的每项功能逐项进行测试。功能测试应覆盖系统软件中的所有功能点，验证系统功能能否正常运行并满足用户需求。</w:t>
            </w:r>
          </w:p>
          <w:p>
            <w:pPr>
              <w:pStyle w:val="12"/>
              <w:jc w:val="left"/>
            </w:pPr>
            <w:r>
              <w:rPr>
                <w:rFonts w:hint="eastAsia"/>
              </w:rPr>
              <w:t>(2)性能效率测评</w:t>
            </w:r>
          </w:p>
          <w:p>
            <w:pPr>
              <w:pStyle w:val="12"/>
              <w:ind w:firstLine="420" w:firstLineChars="0"/>
              <w:jc w:val="left"/>
            </w:pPr>
            <w:r>
              <w:rPr>
                <w:rFonts w:hint="eastAsia"/>
              </w:rPr>
              <w:t>通过分析被测系统的主要功能，结合实际系统的部署架构、业务模型，选取可能存在性能瓶颈的关键功能点（如大并发操作、大数据量操作、对响应时间要求比较高的操作等）作为本次性能测试的性能点进行并发压力测试，验证其并发量、响应时间、吞吐率、资源利用率等性能指标是否满足要求。</w:t>
            </w:r>
          </w:p>
          <w:p>
            <w:pPr>
              <w:pStyle w:val="12"/>
              <w:jc w:val="left"/>
            </w:pPr>
            <w:r>
              <w:rPr>
                <w:rFonts w:hint="eastAsia"/>
              </w:rPr>
              <w:t>(3)可靠性测评</w:t>
            </w:r>
          </w:p>
          <w:p>
            <w:pPr>
              <w:pStyle w:val="12"/>
              <w:ind w:firstLine="420" w:firstLineChars="0"/>
              <w:jc w:val="left"/>
            </w:pPr>
            <w:r>
              <w:rPr>
                <w:rFonts w:hint="eastAsia"/>
              </w:rPr>
              <w:t>包含成熟性、可用性、易恢复性、容错性测试等。测试软件断网恢复能力（网络中断恢复后，系统能否正常运行）、服务器重启后恢复能力（服务器重启后，软件服务端能否自动重启并能正常运行），软件产品是否建立了数据备份机制等内容。</w:t>
            </w:r>
          </w:p>
          <w:p>
            <w:pPr>
              <w:pStyle w:val="12"/>
              <w:jc w:val="left"/>
            </w:pPr>
            <w:r>
              <w:rPr>
                <w:rFonts w:hint="eastAsia"/>
              </w:rPr>
              <w:t>(4)信息安全性测评</w:t>
            </w:r>
          </w:p>
          <w:p>
            <w:pPr>
              <w:pStyle w:val="12"/>
              <w:ind w:firstLine="420" w:firstLineChars="0"/>
              <w:jc w:val="left"/>
            </w:pPr>
            <w:r>
              <w:rPr>
                <w:rFonts w:hint="eastAsia"/>
              </w:rPr>
              <w:t>按照信息安全性要求，主要从保密性、完整性、抗抵赖性、真实性、可核查性等方面验证系统自身的安全性是否满足要求。</w:t>
            </w:r>
          </w:p>
          <w:p>
            <w:pPr>
              <w:pStyle w:val="12"/>
              <w:jc w:val="left"/>
            </w:pPr>
            <w:r>
              <w:rPr>
                <w:rFonts w:hint="eastAsia"/>
              </w:rPr>
              <w:t>(5)易用性测评</w:t>
            </w:r>
          </w:p>
          <w:p>
            <w:pPr>
              <w:pStyle w:val="12"/>
              <w:ind w:firstLine="420" w:firstLineChars="0"/>
              <w:jc w:val="left"/>
            </w:pPr>
            <w:r>
              <w:rPr>
                <w:rFonts w:hint="eastAsia"/>
              </w:rPr>
              <w:t>测评系统各功能操作是否易于理解和操作，软件的输入、操作方式是否便捷易用易学；检查软件以及软件执行过程中的界面、图形、文字、信息和标识是否易于理解和浏览，布局是否符合用户需求和常规使用习惯。</w:t>
            </w:r>
          </w:p>
          <w:p>
            <w:pPr>
              <w:pStyle w:val="12"/>
              <w:jc w:val="left"/>
            </w:pPr>
            <w:r>
              <w:rPr>
                <w:rFonts w:hint="eastAsia"/>
              </w:rPr>
              <w:t>(6)兼容性测评</w:t>
            </w:r>
          </w:p>
          <w:p>
            <w:pPr>
              <w:pStyle w:val="12"/>
              <w:ind w:firstLine="420" w:firstLineChars="0"/>
              <w:jc w:val="left"/>
            </w:pPr>
            <w:r>
              <w:rPr>
                <w:rFonts w:hint="eastAsia"/>
              </w:rPr>
              <w:t>兼容性测评主要是检查软件在不同的软/硬件平台上是否可以正常的运行，共享相同的软硬件条件下，被测软件系统是否能够与其它软件系统正确交换信息，或执行其所需的功能，主要包括共存性和互操作性的测评。</w:t>
            </w:r>
          </w:p>
          <w:p>
            <w:pPr>
              <w:pStyle w:val="12"/>
              <w:jc w:val="left"/>
            </w:pPr>
            <w:r>
              <w:rPr>
                <w:rFonts w:hint="eastAsia"/>
              </w:rPr>
              <w:t>(7)维护性测评</w:t>
            </w:r>
          </w:p>
          <w:p>
            <w:pPr>
              <w:pStyle w:val="12"/>
              <w:ind w:firstLine="420" w:firstLineChars="0"/>
              <w:jc w:val="left"/>
            </w:pPr>
            <w:r>
              <w:rPr>
                <w:rFonts w:hint="eastAsia"/>
              </w:rPr>
              <w:t>维护性测评是从模块化、易分析性、易修改性、可重用性、易测试性方面验证软件。测评是否有可被修改的能力，修改可能包括纠正、改进或软件对环境、需求和功能规格说明变化的适应；验证软件具有的缺陷与失效原因诊断、修改、错误排除等方面的能力以及可扩展能力。</w:t>
            </w:r>
          </w:p>
          <w:p>
            <w:pPr>
              <w:pStyle w:val="12"/>
              <w:jc w:val="left"/>
            </w:pPr>
            <w:r>
              <w:rPr>
                <w:rFonts w:hint="eastAsia"/>
              </w:rPr>
              <w:t>(8)可移植性测评</w:t>
            </w:r>
          </w:p>
          <w:p>
            <w:pPr>
              <w:pStyle w:val="12"/>
              <w:ind w:firstLine="420" w:firstLineChars="0"/>
              <w:jc w:val="left"/>
            </w:pPr>
            <w:r>
              <w:rPr>
                <w:rFonts w:hint="eastAsia"/>
              </w:rPr>
              <w:t>验证如果用户能够实施安装，遵循安装文档中的信息应能成功安装软件；对于软件应用程序的成功安装，应就产品说明中列出的所有支持平台和系统加以验证；软件应向用户提供移去或卸载所有已安装的部件的方法。</w:t>
            </w:r>
          </w:p>
          <w:p>
            <w:pPr>
              <w:pStyle w:val="12"/>
              <w:jc w:val="left"/>
            </w:pPr>
            <w:r>
              <w:rPr>
                <w:rFonts w:hint="eastAsia"/>
              </w:rPr>
              <w:t>(9)源代码安全漏洞及缺陷测评</w:t>
            </w:r>
          </w:p>
          <w:p>
            <w:pPr>
              <w:ind w:firstLine="480" w:firstLineChars="200"/>
              <w:jc w:val="left"/>
              <w:rPr>
                <w:rFonts w:ascii="宋体" w:hAnsi="宋体" w:cs="宋体"/>
                <w:sz w:val="24"/>
              </w:rPr>
            </w:pPr>
            <w:r>
              <w:rPr>
                <w:rFonts w:hint="eastAsia" w:ascii="宋体" w:hAnsi="宋体" w:cs="宋体"/>
                <w:sz w:val="24"/>
              </w:rPr>
              <w:t>依据GB/T 34944-2017《Java语言源代码漏洞测试规范》、SJ/T 11683-2017《Java 语言源代码缺陷控制与测试指南》标准中的指标对被测系统的源代码进行安全漏洞及缺陷的检测。</w:t>
            </w:r>
          </w:p>
          <w:p>
            <w:pPr>
              <w:spacing w:line="380" w:lineRule="exact"/>
              <w:jc w:val="left"/>
              <w:rPr>
                <w:rFonts w:ascii="宋体" w:hAnsi="宋体" w:cs="宋体"/>
                <w:b/>
                <w:bCs/>
                <w:sz w:val="24"/>
              </w:rPr>
            </w:pPr>
            <w:r>
              <w:rPr>
                <w:rFonts w:hint="eastAsia" w:ascii="宋体" w:hAnsi="宋体" w:cs="宋体"/>
                <w:b/>
                <w:bCs/>
                <w:sz w:val="24"/>
              </w:rPr>
              <w:t>▲五、测评结果的提交</w:t>
            </w:r>
          </w:p>
          <w:p>
            <w:pPr>
              <w:ind w:firstLine="480" w:firstLineChars="200"/>
              <w:jc w:val="left"/>
              <w:rPr>
                <w:rFonts w:ascii="宋体" w:hAnsi="宋体" w:cs="宋体"/>
                <w:sz w:val="24"/>
              </w:rPr>
            </w:pPr>
            <w:r>
              <w:rPr>
                <w:rFonts w:hint="eastAsia" w:ascii="宋体" w:hAnsi="宋体" w:cs="宋体"/>
                <w:sz w:val="24"/>
              </w:rPr>
              <w:t>（1）必须提供验收测试报告，内容包含但不限于：软件系统的功能性、性能效率、可靠性、易用性、兼容性、维护性、可移植性、信息安全性和源代码安全漏洞及缺陷测试数据及结果，测试报告封面必须有CNAS、CMA标识。</w:t>
            </w:r>
          </w:p>
          <w:p>
            <w:pPr>
              <w:ind w:firstLine="480" w:firstLineChars="200"/>
              <w:jc w:val="left"/>
              <w:rPr>
                <w:rFonts w:ascii="宋体" w:hAnsi="宋体" w:cs="宋体"/>
                <w:sz w:val="24"/>
              </w:rPr>
            </w:pPr>
            <w:r>
              <w:rPr>
                <w:rFonts w:hint="eastAsia" w:ascii="宋体" w:hAnsi="宋体" w:cs="宋体"/>
                <w:sz w:val="24"/>
              </w:rPr>
              <w:t>（2）在测试结束时必须提供原始评估数据，并刻录光盘3份。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62"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b/>
                <w:sz w:val="24"/>
              </w:rPr>
              <w:t>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bCs/>
                <w:sz w:val="24"/>
              </w:rPr>
            </w:pPr>
            <w:r>
              <w:rPr>
                <w:rFonts w:hint="eastAsia" w:ascii="宋体" w:hAnsi="宋体" w:cs="宋体"/>
                <w:sz w:val="24"/>
              </w:rPr>
              <w:t>规范标准</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sz w:val="24"/>
              </w:rPr>
              <w:t>采购标的需执行的国家标准、行业标准、地方标准或者其他标准、规范。多项标准的，按最新标准或较高标准执行。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Cs/>
                <w:sz w:val="24"/>
              </w:rPr>
            </w:pPr>
            <w:r>
              <w:rPr>
                <w:rFonts w:hint="eastAsia" w:ascii="宋体" w:hAnsi="宋体" w:cs="宋体"/>
                <w:bCs/>
                <w:sz w:val="24"/>
              </w:rPr>
              <w:t>项目服务期及服务地点</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sz w:val="24"/>
              </w:rPr>
              <w:t>1、</w:t>
            </w:r>
            <w:r>
              <w:rPr>
                <w:rFonts w:hint="eastAsia" w:ascii="宋体" w:hAnsi="宋体" w:cs="宋体"/>
                <w:bCs/>
                <w:sz w:val="24"/>
              </w:rPr>
              <w:t>服务期</w:t>
            </w:r>
            <w:r>
              <w:rPr>
                <w:rFonts w:hint="eastAsia" w:ascii="宋体" w:hAnsi="宋体" w:cs="宋体"/>
                <w:sz w:val="24"/>
              </w:rPr>
              <w:t>：中标人在签订合同后15个工作日内，提供项目测试方案，经采购人同意后方可执行。每个系统平台自业主通知进场之日起1个月内完成软件系统的验收检测工作并提交测试结果。</w:t>
            </w:r>
          </w:p>
          <w:p>
            <w:pPr>
              <w:spacing w:line="380" w:lineRule="exact"/>
              <w:rPr>
                <w:rFonts w:ascii="宋体" w:hAnsi="宋体" w:cs="宋体"/>
                <w:sz w:val="24"/>
              </w:rPr>
            </w:pPr>
            <w:r>
              <w:rPr>
                <w:rFonts w:hint="eastAsia" w:ascii="宋体" w:hAnsi="宋体" w:cs="宋体"/>
                <w:sz w:val="24"/>
              </w:rPr>
              <w:t>2、</w:t>
            </w:r>
            <w:r>
              <w:rPr>
                <w:rFonts w:hint="eastAsia" w:ascii="宋体" w:hAnsi="宋体" w:cs="宋体"/>
                <w:bCs/>
                <w:sz w:val="24"/>
              </w:rPr>
              <w:t>服务地点</w:t>
            </w:r>
            <w:r>
              <w:rPr>
                <w:rFonts w:hint="eastAsia" w:ascii="宋体" w:hAnsi="宋体" w:cs="宋体"/>
                <w:sz w:val="24"/>
              </w:rPr>
              <w:t>：广西南宁市采购人指定地点。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bCs/>
                <w:sz w:val="24"/>
              </w:rPr>
            </w:pPr>
            <w:r>
              <w:rPr>
                <w:rFonts w:hint="eastAsia" w:ascii="宋体" w:hAnsi="宋体" w:cs="宋体"/>
                <w:bCs/>
                <w:sz w:val="24"/>
              </w:rPr>
              <w:t>验收要求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s="宋体"/>
                <w:sz w:val="24"/>
              </w:rPr>
            </w:pPr>
            <w:r>
              <w:rPr>
                <w:rFonts w:hint="eastAsia" w:ascii="宋体" w:hAnsi="宋体" w:cs="宋体"/>
                <w:sz w:val="24"/>
              </w:rPr>
              <w:t>采购人组织专家对照采购项目要求及技术需求进行验收。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bCs/>
                <w:sz w:val="24"/>
              </w:rPr>
            </w:pPr>
            <w:r>
              <w:rPr>
                <w:rFonts w:hint="eastAsia" w:ascii="宋体" w:hAnsi="宋体" w:cs="宋体"/>
                <w:sz w:val="24"/>
              </w:rPr>
              <w:t>▲后续服务保障期</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pStyle w:val="15"/>
              <w:snapToGrid w:val="0"/>
              <w:spacing w:line="380" w:lineRule="exact"/>
              <w:outlineLvl w:val="0"/>
              <w:rPr>
                <w:rFonts w:hAnsi="宋体" w:cs="宋体"/>
                <w:sz w:val="24"/>
                <w:szCs w:val="24"/>
              </w:rPr>
            </w:pPr>
            <w:r>
              <w:rPr>
                <w:rFonts w:hint="eastAsia" w:hAnsi="宋体" w:cs="宋体"/>
                <w:sz w:val="24"/>
                <w:szCs w:val="24"/>
              </w:rPr>
              <w:t>自项目验收合格之日起计算，不少于1个月。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sz w:val="24"/>
              </w:rPr>
              <w:t>付款方式</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kern w:val="0"/>
                <w:sz w:val="24"/>
              </w:rPr>
            </w:pPr>
            <w:r>
              <w:rPr>
                <w:rFonts w:hint="eastAsia" w:ascii="宋体" w:hAnsi="宋体" w:cs="宋体"/>
                <w:sz w:val="24"/>
              </w:rPr>
              <w:t>自签订合同之日起十个工作日内，采购人支付合同款总额</w:t>
            </w:r>
            <w:r>
              <w:rPr>
                <w:rFonts w:hint="eastAsia" w:ascii="宋体" w:hAnsi="宋体" w:cs="宋体"/>
                <w:sz w:val="24"/>
                <w:lang w:val="en-US" w:eastAsia="zh-CN"/>
              </w:rPr>
              <w:t>5</w:t>
            </w:r>
            <w:r>
              <w:rPr>
                <w:rFonts w:hint="eastAsia" w:ascii="宋体" w:hAnsi="宋体" w:cs="宋体"/>
                <w:sz w:val="24"/>
              </w:rPr>
              <w:t>0%作为预付款，余款根据每个项目实际检测进度分别支付；</w:t>
            </w:r>
            <w:r>
              <w:rPr>
                <w:rFonts w:hint="eastAsia" w:ascii="宋体" w:hAnsi="宋体" w:cs="宋体"/>
                <w:kern w:val="0"/>
                <w:sz w:val="24"/>
              </w:rPr>
              <w:t>中标人按验收办法每完成一个系统平台的验收检测工作并出具合格的验收检测报告后，采购人在15个工作日内向中标人支付该系统平台检测费用剩余的</w:t>
            </w:r>
            <w:r>
              <w:rPr>
                <w:rFonts w:hint="eastAsia" w:ascii="宋体" w:hAnsi="宋体" w:cs="宋体"/>
                <w:kern w:val="0"/>
                <w:sz w:val="24"/>
                <w:lang w:val="en-US" w:eastAsia="zh-CN"/>
              </w:rPr>
              <w:t>5</w:t>
            </w:r>
            <w:r>
              <w:rPr>
                <w:rFonts w:hint="eastAsia" w:ascii="宋体" w:hAnsi="宋体" w:cs="宋体"/>
                <w:kern w:val="0"/>
                <w:sz w:val="24"/>
              </w:rPr>
              <w:t>0%款项。</w:t>
            </w:r>
          </w:p>
          <w:p>
            <w:pPr>
              <w:spacing w:line="380" w:lineRule="exact"/>
              <w:rPr>
                <w:rFonts w:ascii="宋体" w:hAnsi="宋体" w:cs="宋体"/>
                <w:sz w:val="24"/>
              </w:rPr>
            </w:pPr>
            <w:r>
              <w:rPr>
                <w:rFonts w:hint="eastAsia" w:ascii="宋体" w:hAnsi="宋体" w:cs="宋体"/>
                <w:sz w:val="24"/>
              </w:rPr>
              <w:t>中标人在收到每笔合同款后五个工作日内开具相应金额的正式发票给采购人。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Cs/>
                <w:sz w:val="24"/>
              </w:rPr>
            </w:pPr>
            <w:r>
              <w:rPr>
                <w:rFonts w:hint="eastAsia" w:ascii="宋体" w:hAnsi="宋体" w:cs="宋体"/>
                <w:sz w:val="24"/>
              </w:rPr>
              <w:t>报价要求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left"/>
              <w:textAlignment w:val="auto"/>
              <w:rPr>
                <w:rFonts w:hint="eastAsia" w:ascii="宋体" w:hAnsi="宋体" w:eastAsia="宋体" w:cs="宋体"/>
                <w:kern w:val="2"/>
                <w:sz w:val="24"/>
                <w:szCs w:val="24"/>
              </w:rPr>
            </w:pPr>
            <w:r>
              <w:rPr>
                <w:rFonts w:hint="eastAsia" w:ascii="宋体" w:hAnsi="宋体" w:eastAsia="宋体" w:cs="宋体"/>
                <w:kern w:val="2"/>
                <w:sz w:val="24"/>
                <w:szCs w:val="24"/>
              </w:rPr>
              <w:t>本报价包括实施和完成本项目测评工作所需的劳务费、技术服务费、测量、交通、通讯、</w:t>
            </w:r>
            <w:r>
              <w:rPr>
                <w:rFonts w:hint="eastAsia" w:ascii="宋体" w:hAnsi="宋体" w:cs="宋体"/>
                <w:kern w:val="2"/>
                <w:sz w:val="24"/>
                <w:szCs w:val="24"/>
                <w:lang w:val="en-US" w:eastAsia="zh-CN"/>
              </w:rPr>
              <w:t>住宿、</w:t>
            </w:r>
            <w:r>
              <w:rPr>
                <w:rFonts w:hint="eastAsia" w:ascii="宋体" w:hAnsi="宋体" w:eastAsia="宋体" w:cs="宋体"/>
                <w:kern w:val="2"/>
                <w:sz w:val="24"/>
                <w:szCs w:val="24"/>
              </w:rPr>
              <w:t>保险、税费、利润和招标代理服务费等有关一切费用。</w:t>
            </w:r>
          </w:p>
          <w:p>
            <w:pPr>
              <w:keepNext w:val="0"/>
              <w:keepLines w:val="0"/>
              <w:pageBreakBefore w:val="0"/>
              <w:widowControl w:val="0"/>
              <w:kinsoku/>
              <w:wordWrap/>
              <w:overflowPunct/>
              <w:topLinePunct w:val="0"/>
              <w:autoSpaceDE/>
              <w:autoSpaceDN/>
              <w:bidi w:val="0"/>
              <w:adjustRightInd/>
              <w:snapToGrid/>
              <w:spacing w:line="380" w:lineRule="exact"/>
              <w:ind w:firstLine="0"/>
              <w:jc w:val="left"/>
              <w:textAlignment w:val="auto"/>
              <w:rPr>
                <w:rFonts w:hint="eastAsia" w:ascii="宋体" w:hAnsi="宋体" w:eastAsia="宋体" w:cs="宋体"/>
                <w:b w:val="0"/>
                <w:bCs w:val="0"/>
                <w:kern w:val="2"/>
                <w:sz w:val="24"/>
                <w:szCs w:val="24"/>
              </w:rPr>
            </w:pPr>
            <w:r>
              <w:rPr>
                <w:rFonts w:hint="eastAsia" w:ascii="宋体" w:hAnsi="宋体" w:eastAsia="宋体" w:cs="宋体"/>
                <w:kern w:val="2"/>
                <w:sz w:val="24"/>
                <w:szCs w:val="24"/>
              </w:rPr>
              <w:t>注：</w:t>
            </w:r>
            <w:r>
              <w:rPr>
                <w:rFonts w:hint="eastAsia" w:ascii="宋体" w:hAnsi="宋体" w:eastAsia="宋体" w:cs="宋体"/>
                <w:b w:val="0"/>
                <w:bCs w:val="0"/>
                <w:kern w:val="2"/>
                <w:sz w:val="24"/>
                <w:szCs w:val="24"/>
              </w:rPr>
              <w:t>1.本项目为整体服务包干项目，报价中应包含所有服务内容，成交后采购人服务期内不再另行支付额外费用。</w:t>
            </w:r>
          </w:p>
          <w:p>
            <w:pPr>
              <w:spacing w:line="380" w:lineRule="exact"/>
              <w:rPr>
                <w:rFonts w:ascii="宋体" w:hAnsi="宋体" w:cs="宋体"/>
                <w:sz w:val="24"/>
              </w:rPr>
            </w:pPr>
            <w:r>
              <w:rPr>
                <w:rFonts w:hint="eastAsia" w:ascii="宋体" w:hAnsi="宋体" w:eastAsia="宋体" w:cs="宋体"/>
                <w:b w:val="0"/>
                <w:bCs w:val="0"/>
                <w:kern w:val="2"/>
                <w:sz w:val="24"/>
                <w:szCs w:val="24"/>
              </w:rPr>
              <w:t>2.供应商</w:t>
            </w:r>
            <w:r>
              <w:rPr>
                <w:rFonts w:hint="eastAsia" w:ascii="宋体" w:hAnsi="宋体" w:eastAsia="宋体" w:cs="宋体"/>
                <w:b w:val="0"/>
                <w:bCs w:val="0"/>
                <w:kern w:val="2"/>
                <w:sz w:val="24"/>
                <w:szCs w:val="24"/>
                <w:lang w:val="en-US" w:eastAsia="zh-CN"/>
              </w:rPr>
              <w:t>总</w:t>
            </w:r>
            <w:r>
              <w:rPr>
                <w:rFonts w:hint="eastAsia" w:ascii="宋体" w:hAnsi="宋体" w:eastAsia="宋体" w:cs="宋体"/>
                <w:b w:val="0"/>
                <w:bCs w:val="0"/>
                <w:kern w:val="2"/>
                <w:sz w:val="24"/>
                <w:szCs w:val="24"/>
              </w:rPr>
              <w:t>报价≤采购预算（人民币</w:t>
            </w:r>
            <w:r>
              <w:rPr>
                <w:rFonts w:hint="eastAsia" w:ascii="宋体" w:hAnsi="宋体" w:cs="宋体"/>
                <w:b w:val="0"/>
                <w:bCs w:val="0"/>
                <w:kern w:val="2"/>
                <w:sz w:val="24"/>
                <w:szCs w:val="24"/>
                <w:lang w:val="en-US" w:eastAsia="zh-CN"/>
              </w:rPr>
              <w:t>16.27</w:t>
            </w:r>
            <w:r>
              <w:rPr>
                <w:rFonts w:hint="eastAsia" w:ascii="宋体" w:hAnsi="宋体" w:eastAsia="宋体" w:cs="宋体"/>
                <w:b w:val="0"/>
                <w:bCs w:val="0"/>
                <w:kern w:val="2"/>
                <w:sz w:val="24"/>
                <w:szCs w:val="24"/>
              </w:rPr>
              <w:t>万元）</w:t>
            </w:r>
            <w:r>
              <w:rPr>
                <w:rFonts w:hint="eastAsia" w:ascii="宋体" w:hAnsi="宋体" w:eastAsia="宋体" w:cs="宋体"/>
                <w:b w:val="0"/>
                <w:bCs w:val="0"/>
                <w:kern w:val="2"/>
                <w:sz w:val="24"/>
                <w:szCs w:val="24"/>
                <w:lang w:eastAsia="zh-CN"/>
              </w:rPr>
              <w:t>，</w:t>
            </w:r>
            <w:r>
              <w:rPr>
                <w:rFonts w:hint="eastAsia" w:ascii="宋体" w:hAnsi="宋体" w:eastAsia="宋体" w:cs="宋体"/>
                <w:b w:val="0"/>
                <w:bCs w:val="0"/>
                <w:kern w:val="2"/>
                <w:sz w:val="24"/>
                <w:szCs w:val="24"/>
                <w:lang w:val="en-US" w:eastAsia="zh-CN"/>
              </w:rPr>
              <w:t>供应商报价内容应包括总报价和各平台分项报价，其中</w:t>
            </w:r>
            <w:r>
              <w:rPr>
                <w:rFonts w:hint="eastAsia" w:ascii="宋体" w:hAnsi="宋体" w:eastAsia="宋体" w:cs="宋体"/>
                <w:color w:val="auto"/>
                <w:kern w:val="2"/>
                <w:sz w:val="24"/>
                <w:szCs w:val="24"/>
                <w:lang w:val="en-US" w:eastAsia="zh-CN" w:bidi="ar-SA"/>
              </w:rPr>
              <w:t>广西大数据分析公共服务平台</w:t>
            </w:r>
            <w:r>
              <w:rPr>
                <w:rFonts w:hint="eastAsia" w:ascii="宋体" w:hAnsi="宋体" w:eastAsia="宋体" w:cs="宋体"/>
                <w:b w:val="0"/>
                <w:bCs w:val="0"/>
                <w:kern w:val="2"/>
                <w:sz w:val="24"/>
                <w:szCs w:val="24"/>
              </w:rPr>
              <w:t>≤</w:t>
            </w:r>
            <w:r>
              <w:rPr>
                <w:rFonts w:hint="eastAsia" w:ascii="宋体" w:hAnsi="宋体" w:cs="宋体"/>
                <w:b w:val="0"/>
                <w:bCs w:val="0"/>
                <w:kern w:val="2"/>
                <w:sz w:val="24"/>
                <w:szCs w:val="24"/>
                <w:lang w:val="en-US" w:eastAsia="zh-CN"/>
              </w:rPr>
              <w:t>5.53</w:t>
            </w:r>
            <w:r>
              <w:rPr>
                <w:rFonts w:hint="eastAsia" w:ascii="宋体" w:hAnsi="宋体" w:eastAsia="宋体" w:cs="宋体"/>
                <w:b w:val="0"/>
                <w:bCs w:val="0"/>
                <w:kern w:val="2"/>
                <w:sz w:val="24"/>
                <w:szCs w:val="24"/>
                <w:lang w:val="en-US" w:eastAsia="zh-CN"/>
              </w:rPr>
              <w:t>万元，</w:t>
            </w:r>
            <w:r>
              <w:rPr>
                <w:rFonts w:hint="eastAsia" w:ascii="宋体" w:hAnsi="宋体" w:eastAsia="宋体" w:cs="宋体"/>
                <w:color w:val="auto"/>
                <w:kern w:val="2"/>
                <w:sz w:val="24"/>
                <w:szCs w:val="24"/>
                <w:lang w:val="en-US" w:eastAsia="zh-CN" w:bidi="ar-SA"/>
              </w:rPr>
              <w:t>广西融合视频会议系统</w:t>
            </w:r>
            <w:r>
              <w:rPr>
                <w:rFonts w:hint="eastAsia" w:ascii="宋体" w:hAnsi="宋体" w:eastAsia="宋体" w:cs="宋体"/>
                <w:b w:val="0"/>
                <w:bCs w:val="0"/>
                <w:kern w:val="2"/>
                <w:sz w:val="24"/>
                <w:szCs w:val="24"/>
              </w:rPr>
              <w:t>≤</w:t>
            </w:r>
            <w:r>
              <w:rPr>
                <w:rFonts w:hint="eastAsia" w:ascii="宋体" w:hAnsi="宋体" w:cs="宋体"/>
                <w:b w:val="0"/>
                <w:bCs w:val="0"/>
                <w:kern w:val="2"/>
                <w:sz w:val="24"/>
                <w:szCs w:val="24"/>
                <w:lang w:val="en-US" w:eastAsia="zh-CN"/>
              </w:rPr>
              <w:t>2</w:t>
            </w:r>
            <w:r>
              <w:rPr>
                <w:rFonts w:hint="eastAsia" w:ascii="宋体" w:hAnsi="宋体" w:eastAsia="宋体" w:cs="宋体"/>
                <w:b w:val="0"/>
                <w:bCs w:val="0"/>
                <w:kern w:val="2"/>
                <w:sz w:val="24"/>
                <w:szCs w:val="24"/>
                <w:lang w:val="en-US" w:eastAsia="zh-CN"/>
              </w:rPr>
              <w:t>万元，</w:t>
            </w:r>
            <w:r>
              <w:rPr>
                <w:rFonts w:hint="eastAsia" w:ascii="宋体" w:hAnsi="宋体" w:eastAsia="宋体" w:cs="宋体"/>
                <w:color w:val="auto"/>
                <w:kern w:val="2"/>
                <w:sz w:val="24"/>
                <w:szCs w:val="24"/>
                <w:lang w:val="en-US" w:eastAsia="zh-CN" w:bidi="ar-SA"/>
              </w:rPr>
              <w:t>广西惠企惠民政策兑现平台</w:t>
            </w:r>
            <w:r>
              <w:rPr>
                <w:rFonts w:hint="eastAsia" w:ascii="宋体" w:hAnsi="宋体" w:eastAsia="宋体" w:cs="宋体"/>
                <w:b w:val="0"/>
                <w:bCs w:val="0"/>
                <w:kern w:val="2"/>
                <w:sz w:val="24"/>
                <w:szCs w:val="24"/>
              </w:rPr>
              <w:t>≤</w:t>
            </w:r>
            <w:r>
              <w:rPr>
                <w:rFonts w:hint="eastAsia" w:ascii="宋体" w:hAnsi="宋体" w:cs="宋体"/>
                <w:b w:val="0"/>
                <w:bCs w:val="0"/>
                <w:kern w:val="2"/>
                <w:sz w:val="24"/>
                <w:szCs w:val="24"/>
                <w:lang w:val="en-US" w:eastAsia="zh-CN"/>
              </w:rPr>
              <w:t>8.74</w:t>
            </w:r>
            <w:r>
              <w:rPr>
                <w:rFonts w:hint="eastAsia" w:ascii="宋体" w:hAnsi="宋体" w:eastAsia="宋体" w:cs="宋体"/>
                <w:b w:val="0"/>
                <w:bCs w:val="0"/>
                <w:kern w:val="2"/>
                <w:sz w:val="24"/>
                <w:szCs w:val="24"/>
                <w:lang w:val="en-US" w:eastAsia="zh-CN"/>
              </w:rPr>
              <w:t>万元</w:t>
            </w:r>
            <w:r>
              <w:rPr>
                <w:rFonts w:hint="eastAsia" w:ascii="宋体" w:hAnsi="宋体" w:eastAsia="宋体" w:cs="宋体"/>
                <w:b w:val="0"/>
                <w:bCs w:val="0"/>
                <w:kern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sz w:val="24"/>
              </w:rPr>
              <w:t>其他要求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numPr>
                <w:ilvl w:val="0"/>
                <w:numId w:val="5"/>
              </w:numPr>
              <w:spacing w:line="380" w:lineRule="exact"/>
              <w:rPr>
                <w:rFonts w:ascii="宋体" w:hAnsi="宋体" w:cs="宋体"/>
                <w:sz w:val="24"/>
              </w:rPr>
            </w:pPr>
            <w:r>
              <w:rPr>
                <w:rFonts w:hint="eastAsia" w:ascii="宋体" w:hAnsi="宋体" w:cs="宋体"/>
                <w:sz w:val="24"/>
              </w:rPr>
              <w:t>知识产权：采购人在中华人民共和国境内使用中标人提供的产品及服务时免受第三方提出的侵犯其专利权或其它知识产权的起诉。如果第三方提出侵权指控，中标人应承担由此而引起的一切法律责任和费用。</w:t>
            </w:r>
          </w:p>
          <w:p>
            <w:pPr>
              <w:numPr>
                <w:ilvl w:val="0"/>
                <w:numId w:val="5"/>
              </w:numPr>
              <w:spacing w:line="380" w:lineRule="exact"/>
              <w:rPr>
                <w:rFonts w:ascii="宋体" w:hAnsi="宋体" w:cs="宋体"/>
                <w:sz w:val="24"/>
              </w:rPr>
            </w:pPr>
            <w:r>
              <w:rPr>
                <w:rFonts w:hint="eastAsia" w:ascii="宋体" w:hAnsi="宋体" w:cs="宋体"/>
                <w:sz w:val="24"/>
              </w:rPr>
              <w:t>在项目履约行或验收过程中，采购人将同时按照招标文件及中标人投标文件承诺的条款进行验收测试，如所提供相关服务不符合要求或项目验收不合格，由中标人在规定时间内进行整改，或返工直至合格（有关返工、再行验收），给采购单位造成的损失等费用均由中标人承担。拒不按要求整改（或经多次整改未能改善），或连续两次项目验收不合格的，或发现中标人在投标文件中有弄虚作假的行为，或在投标文件中有针对技术商务条款有虚假响应情况的，采购单位将终止合同或不予验收，并追究中标人的责任，由此带来的一切损失由中标人自行承担。</w:t>
            </w:r>
          </w:p>
          <w:p>
            <w:pPr>
              <w:spacing w:line="380" w:lineRule="exact"/>
              <w:rPr>
                <w:rFonts w:ascii="宋体" w:hAnsi="宋体" w:cs="宋体"/>
                <w:sz w:val="24"/>
              </w:rPr>
            </w:pPr>
            <w:r>
              <w:rPr>
                <w:rFonts w:hint="eastAsia" w:ascii="宋体" w:hAnsi="宋体" w:cs="宋体"/>
                <w:sz w:val="24"/>
              </w:rPr>
              <w:t>3、其他未尽事宜应严格按照《关于印发广西壮族自治区政府采购项目履约验收管理办法的通知》[桂财采〔2015〕22号]以及《财政部关于进一步加强政府采购需求和履约验收管理的指导意见》[财库〔2016〕205号]规定执行。</w:t>
            </w:r>
          </w:p>
          <w:p>
            <w:pPr>
              <w:spacing w:line="380" w:lineRule="exact"/>
              <w:rPr>
                <w:rFonts w:ascii="宋体" w:hAnsi="宋体" w:cs="宋体"/>
                <w:sz w:val="24"/>
              </w:rPr>
            </w:pPr>
            <w:r>
              <w:rPr>
                <w:rFonts w:hint="eastAsia" w:ascii="宋体" w:hAnsi="宋体" w:cs="宋体"/>
                <w:sz w:val="24"/>
              </w:rPr>
              <w:t>4、本章《招标项目采购需求》有其他要求的按其要求执行。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sz w:val="24"/>
              </w:rPr>
              <w:t>履约保证金</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sz w:val="24"/>
              </w:rPr>
              <w:t>无。</w:t>
            </w:r>
          </w:p>
        </w:tc>
      </w:tr>
    </w:tbl>
    <w:p>
      <w:pPr>
        <w:rPr>
          <w:rFonts w:ascii="宋体" w:hAnsi="宋体" w:cs="宋体"/>
          <w:sz w:val="24"/>
        </w:rPr>
      </w:pPr>
    </w:p>
    <w:p>
      <w:pPr>
        <w:rPr>
          <w:rFonts w:ascii="宋体" w:hAnsi="宋体" w:cs="宋体"/>
          <w:sz w:val="24"/>
        </w:rPr>
      </w:pPr>
      <w:r>
        <w:rPr>
          <w:rFonts w:hint="eastAsia" w:ascii="宋体" w:hAnsi="宋体" w:cs="宋体"/>
          <w:sz w:val="24"/>
        </w:rPr>
        <w:br w:type="page"/>
      </w:r>
    </w:p>
    <w:p>
      <w:pPr>
        <w:spacing w:line="500" w:lineRule="exact"/>
        <w:jc w:val="center"/>
        <w:outlineLvl w:val="0"/>
        <w:rPr>
          <w:rFonts w:ascii="宋体" w:hAnsi="宋体"/>
          <w:b/>
          <w:sz w:val="32"/>
          <w:szCs w:val="32"/>
        </w:rPr>
      </w:pPr>
      <w:r>
        <w:rPr>
          <w:rFonts w:hint="eastAsia" w:ascii="宋体" w:hAnsi="宋体"/>
          <w:b/>
          <w:sz w:val="28"/>
          <w:szCs w:val="32"/>
        </w:rPr>
        <w:t>第四章 评审办法及成交标准</w:t>
      </w:r>
    </w:p>
    <w:p>
      <w:pPr>
        <w:pStyle w:val="15"/>
        <w:spacing w:before="156" w:beforeLines="30" w:after="156" w:afterLines="30"/>
        <w:ind w:firstLine="482" w:firstLineChars="200"/>
        <w:jc w:val="center"/>
        <w:rPr>
          <w:b/>
          <w:sz w:val="24"/>
          <w:szCs w:val="24"/>
        </w:rPr>
      </w:pPr>
      <w:r>
        <w:rPr>
          <w:rFonts w:hint="eastAsia"/>
          <w:b/>
          <w:sz w:val="24"/>
          <w:szCs w:val="24"/>
        </w:rPr>
        <w:t>综合评分法</w:t>
      </w:r>
    </w:p>
    <w:p>
      <w:pPr>
        <w:pStyle w:val="24"/>
        <w:spacing w:line="380" w:lineRule="exact"/>
        <w:ind w:left="0"/>
        <w:rPr>
          <w:rFonts w:ascii="宋体" w:hAnsi="宋体" w:cs="宋体"/>
          <w:sz w:val="24"/>
        </w:rPr>
      </w:pPr>
      <w:r>
        <w:rPr>
          <w:rFonts w:hint="eastAsia" w:ascii="宋体" w:hAnsi="宋体" w:cs="宋体"/>
          <w:b/>
          <w:bCs/>
          <w:sz w:val="24"/>
        </w:rPr>
        <w:t>一、评标原则</w:t>
      </w:r>
    </w:p>
    <w:p>
      <w:pPr>
        <w:pStyle w:val="24"/>
        <w:spacing w:line="380" w:lineRule="exact"/>
        <w:ind w:left="0"/>
        <w:rPr>
          <w:rFonts w:ascii="宋体" w:hAnsi="宋体" w:cs="宋体"/>
          <w:bCs/>
          <w:sz w:val="24"/>
        </w:rPr>
      </w:pPr>
      <w:r>
        <w:rPr>
          <w:rFonts w:hint="eastAsia" w:ascii="宋体" w:hAnsi="宋体" w:cs="宋体"/>
          <w:bCs/>
          <w:sz w:val="24"/>
        </w:rPr>
        <w:t xml:space="preserve">    （一）评委组成：本招标采购项目的评标委员会由采购人代表和评审专家组成，成员人数应当为三人以上单数。其中，评审专家不得少于成员总数的三分之二。</w:t>
      </w:r>
    </w:p>
    <w:p>
      <w:pPr>
        <w:pStyle w:val="24"/>
        <w:spacing w:line="380" w:lineRule="exact"/>
        <w:ind w:left="0"/>
        <w:rPr>
          <w:rFonts w:ascii="宋体" w:hAnsi="宋体" w:cs="宋体"/>
          <w:b/>
          <w:bCs/>
          <w:strike/>
          <w:sz w:val="24"/>
        </w:rPr>
      </w:pPr>
      <w:r>
        <w:rPr>
          <w:rFonts w:hint="eastAsia" w:ascii="宋体" w:hAnsi="宋体" w:cs="宋体"/>
          <w:bCs/>
          <w:sz w:val="24"/>
        </w:rPr>
        <w:t xml:space="preserve">    （二）评标依据：评委将以招投标文件为评标依据，对投标人的投标文件内容按百分制打分。</w:t>
      </w:r>
    </w:p>
    <w:p>
      <w:pPr>
        <w:pStyle w:val="24"/>
        <w:spacing w:line="380" w:lineRule="exact"/>
        <w:ind w:left="0" w:firstLine="480" w:firstLineChars="200"/>
        <w:rPr>
          <w:rFonts w:ascii="宋体" w:hAnsi="宋体" w:cs="宋体"/>
          <w:bCs/>
          <w:sz w:val="24"/>
        </w:rPr>
      </w:pPr>
      <w:r>
        <w:rPr>
          <w:rFonts w:hint="eastAsia" w:ascii="宋体" w:hAnsi="宋体" w:cs="宋体"/>
          <w:bCs/>
          <w:sz w:val="24"/>
        </w:rPr>
        <w:t>（三）评标方式：以封闭方式进行。</w:t>
      </w:r>
    </w:p>
    <w:p>
      <w:pPr>
        <w:pStyle w:val="24"/>
        <w:spacing w:line="380" w:lineRule="exact"/>
        <w:ind w:left="0"/>
        <w:rPr>
          <w:rFonts w:ascii="宋体" w:hAnsi="宋体" w:cs="宋体"/>
          <w:b/>
          <w:bCs/>
          <w:sz w:val="24"/>
        </w:rPr>
      </w:pPr>
      <w:r>
        <w:rPr>
          <w:rFonts w:hint="eastAsia" w:ascii="宋体" w:hAnsi="宋体" w:cs="宋体"/>
          <w:b/>
          <w:bCs/>
          <w:sz w:val="24"/>
        </w:rPr>
        <w:t>二、评标方法</w:t>
      </w:r>
    </w:p>
    <w:p>
      <w:pPr>
        <w:pStyle w:val="24"/>
        <w:spacing w:line="380" w:lineRule="exact"/>
        <w:ind w:left="0" w:firstLine="480" w:firstLineChars="200"/>
        <w:rPr>
          <w:rFonts w:ascii="宋体" w:hAnsi="宋体" w:cs="宋体"/>
          <w:bCs/>
          <w:sz w:val="24"/>
        </w:rPr>
      </w:pPr>
      <w:r>
        <w:rPr>
          <w:rFonts w:hint="eastAsia" w:ascii="宋体" w:hAnsi="宋体" w:cs="宋体"/>
          <w:bCs/>
          <w:sz w:val="24"/>
        </w:rPr>
        <w:t>（一）对进入详评的，采用百分制综合评分法。</w:t>
      </w:r>
    </w:p>
    <w:p>
      <w:pPr>
        <w:pStyle w:val="24"/>
        <w:spacing w:line="380" w:lineRule="exact"/>
        <w:ind w:left="0" w:firstLine="480" w:firstLineChars="200"/>
        <w:rPr>
          <w:rFonts w:ascii="宋体" w:hAnsi="宋体" w:cs="宋体"/>
          <w:bCs/>
          <w:sz w:val="24"/>
        </w:rPr>
      </w:pPr>
      <w:r>
        <w:rPr>
          <w:rFonts w:hint="eastAsia" w:ascii="宋体" w:hAnsi="宋体" w:cs="宋体"/>
          <w:bCs/>
          <w:sz w:val="24"/>
        </w:rPr>
        <w:t>（二）计分办法（按四舍五入取至百分位）：</w:t>
      </w:r>
    </w:p>
    <w:p>
      <w:pPr>
        <w:spacing w:line="380" w:lineRule="exact"/>
        <w:rPr>
          <w:rFonts w:ascii="宋体" w:hAnsi="宋体" w:cs="宋体"/>
          <w:b/>
          <w:sz w:val="24"/>
        </w:rPr>
      </w:pPr>
      <w:r>
        <w:rPr>
          <w:rFonts w:hint="eastAsia" w:ascii="宋体" w:hAnsi="宋体" w:cs="宋体"/>
          <w:b/>
          <w:sz w:val="24"/>
        </w:rPr>
        <w:t>1、价格分……………………………………………………………………………………10分</w:t>
      </w:r>
    </w:p>
    <w:p>
      <w:pPr>
        <w:pStyle w:val="92"/>
        <w:spacing w:line="380" w:lineRule="exact"/>
        <w:ind w:firstLine="480" w:firstLineChars="200"/>
        <w:rPr>
          <w:rFonts w:cs="宋体"/>
          <w:sz w:val="24"/>
          <w:szCs w:val="24"/>
        </w:rPr>
      </w:pPr>
      <w:r>
        <w:rPr>
          <w:rFonts w:hint="eastAsia" w:cs="宋体"/>
          <w:sz w:val="24"/>
          <w:szCs w:val="24"/>
        </w:rPr>
        <w:t>（1）本项目为专门面对中小企业项目，小微企业、监狱企业、残疾人福利性单位不再执行价格评审优惠的扶持政策，评标价=投标价。</w:t>
      </w:r>
    </w:p>
    <w:p>
      <w:pPr>
        <w:spacing w:line="380" w:lineRule="exact"/>
        <w:ind w:firstLine="480" w:firstLineChars="200"/>
        <w:rPr>
          <w:rFonts w:ascii="宋体" w:hAnsi="宋体" w:cs="宋体"/>
          <w:sz w:val="24"/>
        </w:rPr>
      </w:pPr>
      <w:r>
        <w:rPr>
          <w:rFonts w:hint="eastAsia" w:ascii="宋体" w:hAnsi="宋体" w:cs="宋体"/>
          <w:sz w:val="24"/>
        </w:rPr>
        <w:t>（2）以进入评标的最低的评标价为</w:t>
      </w:r>
      <w:r>
        <w:rPr>
          <w:rFonts w:hint="eastAsia" w:ascii="宋体" w:hAnsi="宋体" w:cs="宋体"/>
          <w:sz w:val="24"/>
          <w:u w:val="single"/>
        </w:rPr>
        <w:t>10</w:t>
      </w:r>
      <w:r>
        <w:rPr>
          <w:rFonts w:hint="eastAsia" w:ascii="宋体" w:hAnsi="宋体" w:cs="宋体"/>
          <w:sz w:val="24"/>
        </w:rPr>
        <w:t>分。</w:t>
      </w:r>
    </w:p>
    <w:p>
      <w:pPr>
        <w:spacing w:line="380" w:lineRule="exact"/>
        <w:ind w:firstLine="480" w:firstLineChars="200"/>
        <w:rPr>
          <w:rFonts w:ascii="宋体" w:hAnsi="宋体" w:cs="宋体"/>
          <w:sz w:val="24"/>
        </w:rPr>
      </w:pPr>
      <w:r>
        <w:rPr>
          <w:rFonts w:hint="eastAsia" w:ascii="宋体" w:hAnsi="宋体" w:cs="宋体"/>
          <w:sz w:val="24"/>
        </w:rPr>
        <w:t xml:space="preserve">（3）某投标人价格分 = </w:t>
      </w:r>
      <w:r>
        <w:rPr>
          <w:rFonts w:hint="eastAsia" w:ascii="宋体" w:hAnsi="宋体" w:cs="宋体"/>
          <w:bCs/>
          <w:sz w:val="24"/>
        </w:rPr>
        <w:t>投标人最低</w:t>
      </w:r>
      <w:r>
        <w:rPr>
          <w:rFonts w:hint="eastAsia" w:ascii="宋体" w:hAnsi="宋体" w:cs="宋体"/>
          <w:sz w:val="24"/>
        </w:rPr>
        <w:t>评标价</w:t>
      </w:r>
      <w:r>
        <w:rPr>
          <w:rFonts w:hint="eastAsia" w:ascii="宋体" w:hAnsi="宋体" w:cs="宋体"/>
          <w:bCs/>
          <w:sz w:val="24"/>
        </w:rPr>
        <w:t>/某投标人</w:t>
      </w:r>
      <w:r>
        <w:rPr>
          <w:rFonts w:hint="eastAsia" w:ascii="宋体" w:hAnsi="宋体" w:cs="宋体"/>
          <w:sz w:val="24"/>
        </w:rPr>
        <w:t>评标价× 10分</w:t>
      </w:r>
    </w:p>
    <w:p>
      <w:pPr>
        <w:spacing w:line="380" w:lineRule="exact"/>
        <w:rPr>
          <w:rFonts w:ascii="宋体" w:hAnsi="宋体" w:cs="宋体"/>
          <w:b/>
          <w:sz w:val="24"/>
        </w:rPr>
      </w:pPr>
      <w:r>
        <w:rPr>
          <w:rFonts w:hint="eastAsia" w:ascii="宋体" w:hAnsi="宋体" w:cs="宋体"/>
          <w:b/>
          <w:sz w:val="24"/>
        </w:rPr>
        <w:t>2、技术方案分……………………………………………………………………………50分</w:t>
      </w:r>
    </w:p>
    <w:p>
      <w:pPr>
        <w:spacing w:line="380" w:lineRule="exact"/>
        <w:ind w:firstLine="480" w:firstLineChars="200"/>
        <w:rPr>
          <w:rFonts w:ascii="宋体" w:hAnsi="宋体" w:cs="宋体"/>
          <w:sz w:val="24"/>
        </w:rPr>
      </w:pPr>
      <w:r>
        <w:rPr>
          <w:rFonts w:hint="eastAsia" w:ascii="宋体" w:hAnsi="宋体" w:cs="宋体"/>
          <w:sz w:val="24"/>
        </w:rPr>
        <w:t>（1）测评方案内容的完整性（满分</w:t>
      </w:r>
      <w:r>
        <w:rPr>
          <w:rFonts w:hint="eastAsia" w:ascii="宋体" w:hAnsi="宋体" w:cs="宋体"/>
          <w:sz w:val="24"/>
          <w:lang w:val="en-US" w:eastAsia="zh-CN"/>
        </w:rPr>
        <w:t>9</w:t>
      </w:r>
      <w:r>
        <w:rPr>
          <w:rFonts w:hint="eastAsia" w:ascii="宋体" w:hAnsi="宋体" w:cs="宋体"/>
          <w:sz w:val="24"/>
        </w:rPr>
        <w:t>分）</w:t>
      </w:r>
    </w:p>
    <w:p>
      <w:pPr>
        <w:pStyle w:val="92"/>
        <w:spacing w:line="380" w:lineRule="exact"/>
        <w:ind w:firstLine="480" w:firstLineChars="200"/>
        <w:rPr>
          <w:rFonts w:cs="宋体"/>
          <w:sz w:val="24"/>
          <w:szCs w:val="24"/>
        </w:rPr>
      </w:pPr>
      <w:r>
        <w:rPr>
          <w:rFonts w:hint="eastAsia" w:cs="宋体"/>
          <w:sz w:val="24"/>
          <w:szCs w:val="24"/>
        </w:rPr>
        <w:t>投标人需具有完备的测评体系，包括测评工作目标、重点、依据、内容、方法、流程、质量保证等测评体系，根据体系的完整性、可行性、先进程度等进行分析比较后评分：</w:t>
      </w:r>
    </w:p>
    <w:p>
      <w:pPr>
        <w:pStyle w:val="92"/>
        <w:spacing w:line="380" w:lineRule="exact"/>
        <w:ind w:firstLine="480" w:firstLineChars="200"/>
        <w:rPr>
          <w:rFonts w:cs="宋体"/>
          <w:sz w:val="24"/>
          <w:szCs w:val="24"/>
        </w:rPr>
      </w:pPr>
      <w:r>
        <w:rPr>
          <w:rFonts w:hint="eastAsia" w:cs="宋体"/>
          <w:sz w:val="24"/>
          <w:szCs w:val="24"/>
        </w:rPr>
        <w:t>1）测评体系较差，不具备可行性和先进性，得</w:t>
      </w:r>
      <w:r>
        <w:rPr>
          <w:rFonts w:hint="eastAsia" w:cs="宋体"/>
          <w:sz w:val="24"/>
          <w:szCs w:val="24"/>
          <w:lang w:val="en-US" w:eastAsia="zh-CN"/>
        </w:rPr>
        <w:t>3</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2）测评体系一般，具备一定的可行性和先进性，得</w:t>
      </w:r>
      <w:r>
        <w:rPr>
          <w:rFonts w:hint="eastAsia" w:cs="宋体"/>
          <w:sz w:val="24"/>
          <w:szCs w:val="24"/>
          <w:lang w:val="en-US" w:eastAsia="zh-CN"/>
        </w:rPr>
        <w:t>6</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lang w:val="en-US" w:eastAsia="zh-CN"/>
        </w:rPr>
        <w:t>3</w:t>
      </w:r>
      <w:r>
        <w:rPr>
          <w:rFonts w:hint="eastAsia" w:cs="宋体"/>
          <w:sz w:val="24"/>
          <w:szCs w:val="24"/>
        </w:rPr>
        <w:t>）测评体系完整，且具备很好的可行性和先进性，得</w:t>
      </w:r>
      <w:r>
        <w:rPr>
          <w:rFonts w:hint="eastAsia" w:cs="宋体"/>
          <w:sz w:val="24"/>
          <w:szCs w:val="24"/>
          <w:lang w:val="en-US" w:eastAsia="zh-CN"/>
        </w:rPr>
        <w:t>9</w:t>
      </w:r>
      <w:r>
        <w:rPr>
          <w:rFonts w:hint="eastAsia" w:cs="宋体"/>
          <w:sz w:val="24"/>
          <w:szCs w:val="24"/>
        </w:rPr>
        <w:t>分。</w:t>
      </w:r>
    </w:p>
    <w:p>
      <w:pPr>
        <w:spacing w:line="380" w:lineRule="exact"/>
        <w:ind w:firstLine="480" w:firstLineChars="200"/>
        <w:rPr>
          <w:rFonts w:ascii="宋体" w:hAnsi="宋体" w:cs="宋体"/>
          <w:sz w:val="24"/>
        </w:rPr>
      </w:pPr>
      <w:r>
        <w:rPr>
          <w:rFonts w:hint="eastAsia" w:ascii="宋体" w:hAnsi="宋体" w:cs="宋体"/>
          <w:sz w:val="24"/>
        </w:rPr>
        <w:t>(2)测评方案的先进性（满分1</w:t>
      </w:r>
      <w:r>
        <w:rPr>
          <w:rFonts w:hint="eastAsia" w:ascii="宋体" w:hAnsi="宋体" w:cs="宋体"/>
          <w:sz w:val="24"/>
          <w:lang w:val="en-US" w:eastAsia="zh-CN"/>
        </w:rPr>
        <w:t>2</w:t>
      </w:r>
      <w:r>
        <w:rPr>
          <w:rFonts w:hint="eastAsia" w:ascii="宋体" w:hAnsi="宋体" w:cs="宋体"/>
          <w:sz w:val="24"/>
        </w:rPr>
        <w:t>分）</w:t>
      </w:r>
    </w:p>
    <w:p>
      <w:pPr>
        <w:pStyle w:val="92"/>
        <w:spacing w:line="380" w:lineRule="exact"/>
        <w:ind w:firstLine="480" w:firstLineChars="200"/>
        <w:rPr>
          <w:rFonts w:cs="宋体"/>
          <w:sz w:val="24"/>
          <w:szCs w:val="24"/>
        </w:rPr>
      </w:pPr>
      <w:r>
        <w:rPr>
          <w:rFonts w:hint="eastAsia" w:cs="宋体"/>
          <w:sz w:val="24"/>
          <w:szCs w:val="24"/>
        </w:rPr>
        <w:t>对投标人提供的测评方案进行评价：为保证测试质量和测试结果的准确性，测评方案中应标明需采用的测试工具,测试工具应使用商业工具，且符合本项目技术条款及精度要求。</w:t>
      </w:r>
    </w:p>
    <w:p>
      <w:pPr>
        <w:pStyle w:val="92"/>
        <w:spacing w:line="380" w:lineRule="exact"/>
        <w:ind w:firstLine="480" w:firstLineChars="200"/>
        <w:rPr>
          <w:rFonts w:cs="宋体"/>
          <w:sz w:val="24"/>
          <w:szCs w:val="24"/>
        </w:rPr>
      </w:pPr>
      <w:r>
        <w:rPr>
          <w:rFonts w:hint="eastAsia" w:cs="宋体"/>
          <w:sz w:val="24"/>
          <w:szCs w:val="24"/>
        </w:rPr>
        <w:t>1）测评方案中采用的方法，部分不能满足招投标文件的要求，且测评方案中没有说明采用的测试工具，得</w:t>
      </w:r>
      <w:r>
        <w:rPr>
          <w:rFonts w:hint="eastAsia" w:cs="宋体"/>
          <w:sz w:val="24"/>
          <w:szCs w:val="24"/>
          <w:lang w:val="en-US" w:eastAsia="zh-CN"/>
        </w:rPr>
        <w:t>3</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2）测评方案中采用标准方法，基本能满足招投标文件的要求，测评方案中说明了采用的测试工具，且测试工具基本符合本项目技术条款及精度要求，得</w:t>
      </w:r>
      <w:r>
        <w:rPr>
          <w:rFonts w:hint="eastAsia" w:cs="宋体"/>
          <w:sz w:val="24"/>
          <w:szCs w:val="24"/>
          <w:lang w:val="en-US" w:eastAsia="zh-CN"/>
        </w:rPr>
        <w:t>6</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3）测评方案中采用标准方法，较好满足招投标文件的要求，测评方案中较详细说明了采用的测试工具，且测试工具符合本项目技术条款及精度要求，得</w:t>
      </w:r>
      <w:r>
        <w:rPr>
          <w:rFonts w:hint="eastAsia" w:cs="宋体"/>
          <w:sz w:val="24"/>
          <w:szCs w:val="24"/>
          <w:lang w:val="en-US" w:eastAsia="zh-CN"/>
        </w:rPr>
        <w:t>9</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4）测评方案中采用标准方法，响应或优于招投标文件的要求，测评方案中详细说明了采用的测试工具，能提供国产商业正版软件性能测试工具和有效的安全扫描工具的，且测试工具完全符合本项目技术条款及精度要求，得1</w:t>
      </w:r>
      <w:r>
        <w:rPr>
          <w:rFonts w:hint="eastAsia" w:cs="宋体"/>
          <w:sz w:val="24"/>
          <w:szCs w:val="24"/>
          <w:lang w:val="en-US" w:eastAsia="zh-CN"/>
        </w:rPr>
        <w:t>2</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注：（测试工具需提供采购合同和发票证明文件复印件并加盖公章）</w:t>
      </w:r>
    </w:p>
    <w:p>
      <w:pPr>
        <w:pStyle w:val="92"/>
        <w:spacing w:line="380" w:lineRule="exact"/>
        <w:ind w:firstLine="480" w:firstLineChars="200"/>
        <w:rPr>
          <w:rFonts w:cs="宋体"/>
          <w:sz w:val="24"/>
          <w:szCs w:val="24"/>
        </w:rPr>
      </w:pPr>
      <w:r>
        <w:rPr>
          <w:rFonts w:hint="eastAsia" w:cs="宋体"/>
          <w:sz w:val="24"/>
          <w:szCs w:val="24"/>
        </w:rPr>
        <w:t>（3）投标人检测能力（满分1</w:t>
      </w:r>
      <w:r>
        <w:rPr>
          <w:rFonts w:hint="eastAsia" w:cs="宋体"/>
          <w:sz w:val="24"/>
          <w:szCs w:val="24"/>
          <w:lang w:val="en-US" w:eastAsia="zh-CN"/>
        </w:rPr>
        <w:t>1</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 xml:space="preserve">1）具有通用软件测评能力GB/T 25000.51-2016 《系统与软件工程 系统与软件质量要求和评价(SQuaRE) 第51部分：就绪软件产品(RUSP)的质量要求和测试细则》的得2分，否则不得分。； </w:t>
      </w:r>
    </w:p>
    <w:p>
      <w:pPr>
        <w:pStyle w:val="92"/>
        <w:spacing w:line="380" w:lineRule="exact"/>
        <w:ind w:firstLine="480" w:firstLineChars="200"/>
        <w:rPr>
          <w:rFonts w:cs="宋体"/>
          <w:sz w:val="24"/>
          <w:szCs w:val="24"/>
        </w:rPr>
      </w:pPr>
      <w:r>
        <w:rPr>
          <w:rFonts w:hint="eastAsia" w:cs="宋体"/>
          <w:sz w:val="24"/>
          <w:szCs w:val="24"/>
        </w:rPr>
        <w:t xml:space="preserve">2）具有电子政务系统检测能力GW0014-2017 《国家电子政务工程项目应用软件第三方测试规范》的得2分，否则不得分。 </w:t>
      </w:r>
    </w:p>
    <w:p>
      <w:pPr>
        <w:pStyle w:val="92"/>
        <w:spacing w:line="380" w:lineRule="exact"/>
        <w:ind w:firstLine="480" w:firstLineChars="200"/>
        <w:rPr>
          <w:rFonts w:cs="宋体"/>
          <w:sz w:val="24"/>
          <w:szCs w:val="24"/>
        </w:rPr>
      </w:pPr>
      <w:r>
        <w:rPr>
          <w:rFonts w:hint="eastAsia" w:cs="宋体"/>
          <w:sz w:val="24"/>
          <w:szCs w:val="24"/>
        </w:rPr>
        <w:t xml:space="preserve">3）具有信创检测能力ZW/T 1005-2020 《基于信创政务云的应用软件质量测评规范》的得2分，否则不得分。 </w:t>
      </w:r>
    </w:p>
    <w:p>
      <w:pPr>
        <w:pStyle w:val="92"/>
        <w:spacing w:line="380" w:lineRule="exact"/>
        <w:ind w:firstLine="480" w:firstLineChars="200"/>
        <w:rPr>
          <w:rFonts w:cs="宋体"/>
          <w:sz w:val="24"/>
          <w:szCs w:val="24"/>
        </w:rPr>
      </w:pPr>
      <w:r>
        <w:rPr>
          <w:rFonts w:hint="eastAsia" w:cs="宋体"/>
          <w:sz w:val="24"/>
          <w:szCs w:val="24"/>
        </w:rPr>
        <w:t>4）具有源代码检测能力GB/T 34943-2017《C/C++语言源代码漏洞测试规范》、SJ/T 11682-2017《C/C++语言源代码缺陷控制与测试规范》、GB/T 34944-2017《Java语言源代码漏洞测试规范》、SJ/T 11683-2017《Java 语言源代码缺陷控制与测试指南》、GB/T 39412-2020《信息安全技术 代码安全审计规范》的，每提供一种源代码检测能力得</w:t>
      </w:r>
      <w:r>
        <w:rPr>
          <w:rFonts w:hint="eastAsia" w:cs="宋体"/>
          <w:sz w:val="24"/>
          <w:szCs w:val="24"/>
          <w:lang w:val="en-US" w:eastAsia="zh-CN"/>
        </w:rPr>
        <w:t>1</w:t>
      </w:r>
      <w:r>
        <w:rPr>
          <w:rFonts w:hint="eastAsia" w:cs="宋体"/>
          <w:sz w:val="24"/>
          <w:szCs w:val="24"/>
        </w:rPr>
        <w:t>分，最高</w:t>
      </w:r>
      <w:r>
        <w:rPr>
          <w:rFonts w:hint="eastAsia" w:cs="宋体"/>
          <w:sz w:val="24"/>
          <w:szCs w:val="24"/>
          <w:lang w:val="en-US" w:eastAsia="zh-CN"/>
        </w:rPr>
        <w:t>5</w:t>
      </w:r>
      <w:r>
        <w:rPr>
          <w:rFonts w:hint="eastAsia" w:cs="宋体"/>
          <w:sz w:val="24"/>
          <w:szCs w:val="24"/>
        </w:rPr>
        <w:t xml:space="preserve">分。    </w:t>
      </w:r>
    </w:p>
    <w:p>
      <w:pPr>
        <w:pStyle w:val="92"/>
        <w:spacing w:line="380" w:lineRule="exact"/>
        <w:ind w:firstLine="480" w:firstLineChars="200"/>
        <w:rPr>
          <w:rFonts w:cs="宋体"/>
          <w:sz w:val="24"/>
          <w:szCs w:val="24"/>
        </w:rPr>
      </w:pPr>
      <w:r>
        <w:rPr>
          <w:rFonts w:hint="eastAsia" w:cs="宋体"/>
          <w:sz w:val="24"/>
          <w:szCs w:val="24"/>
        </w:rPr>
        <w:t>注：（需要提供CNAS证书及附件或CMA证书及附件的复印件，并加盖测评机构公章）。</w:t>
      </w:r>
    </w:p>
    <w:p>
      <w:pPr>
        <w:pStyle w:val="92"/>
        <w:spacing w:line="380" w:lineRule="exact"/>
        <w:ind w:firstLine="480" w:firstLineChars="200"/>
        <w:rPr>
          <w:rFonts w:cs="宋体"/>
          <w:sz w:val="24"/>
          <w:szCs w:val="24"/>
        </w:rPr>
      </w:pPr>
      <w:r>
        <w:rPr>
          <w:rFonts w:hint="eastAsia" w:cs="宋体"/>
          <w:sz w:val="24"/>
          <w:szCs w:val="24"/>
        </w:rPr>
        <w:t>（4）质量保证措施及其他优化措施分（满分</w:t>
      </w:r>
      <w:r>
        <w:rPr>
          <w:rFonts w:hint="eastAsia" w:cs="宋体"/>
          <w:sz w:val="24"/>
          <w:szCs w:val="24"/>
          <w:lang w:val="en-US" w:eastAsia="zh-CN"/>
        </w:rPr>
        <w:t>9</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1）服务满足采购文件服务要求或主要的服务内容满足采购文件要求的，得</w:t>
      </w:r>
      <w:r>
        <w:rPr>
          <w:rFonts w:hint="eastAsia" w:cs="宋体"/>
          <w:sz w:val="24"/>
          <w:szCs w:val="24"/>
          <w:lang w:val="en-US" w:eastAsia="zh-CN"/>
        </w:rPr>
        <w:t>3</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2）服务满足采购文件服务要求或主要的服务内容优于采购文件要求的，得</w:t>
      </w:r>
      <w:r>
        <w:rPr>
          <w:rFonts w:hint="eastAsia" w:cs="宋体"/>
          <w:sz w:val="24"/>
          <w:szCs w:val="24"/>
          <w:lang w:val="en-US" w:eastAsia="zh-CN"/>
        </w:rPr>
        <w:t>6</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3）服务满足采购文件服务要求或主要的服务内容安全满足或更优于采购文件要求的，且能提供质量保证措施：提供自主研发的检测平台的（提供软件著作权或专利的复印件并加盖公章），测试符合本项目技术条款及精度要求的，得</w:t>
      </w:r>
      <w:r>
        <w:rPr>
          <w:rFonts w:hint="eastAsia" w:cs="宋体"/>
          <w:sz w:val="24"/>
          <w:szCs w:val="24"/>
          <w:lang w:val="en-US" w:eastAsia="zh-CN"/>
        </w:rPr>
        <w:t>9</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（5）服务承诺（满分</w:t>
      </w:r>
      <w:r>
        <w:rPr>
          <w:rFonts w:hint="eastAsia" w:cs="宋体"/>
          <w:sz w:val="24"/>
          <w:szCs w:val="24"/>
          <w:lang w:val="en-US" w:eastAsia="zh-CN"/>
        </w:rPr>
        <w:t>9</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根据投标人的服务措施（包含售后服务计划、承诺、服务内容、响应时间等）进行分析比较后评分：</w:t>
      </w:r>
    </w:p>
    <w:p>
      <w:pPr>
        <w:pStyle w:val="92"/>
        <w:spacing w:line="380" w:lineRule="exact"/>
        <w:ind w:firstLine="480" w:firstLineChars="200"/>
        <w:rPr>
          <w:rFonts w:cs="宋体"/>
          <w:sz w:val="24"/>
          <w:szCs w:val="24"/>
        </w:rPr>
      </w:pPr>
      <w:r>
        <w:rPr>
          <w:rFonts w:hint="eastAsia" w:cs="宋体"/>
          <w:sz w:val="24"/>
          <w:szCs w:val="24"/>
        </w:rPr>
        <w:t>1）提供的服务措施（包含售后服务计划、承诺、服务内容、响应时间等）整体内容不完整、响应时间不够迅速的，得</w:t>
      </w:r>
      <w:r>
        <w:rPr>
          <w:rFonts w:hint="eastAsia" w:cs="宋体"/>
          <w:sz w:val="24"/>
          <w:szCs w:val="24"/>
          <w:lang w:val="en-US" w:eastAsia="zh-CN"/>
        </w:rPr>
        <w:t>3</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2）提供的服务措施（包含售后服务计划、承诺、服务内容、响应时间等）整体内容基本完整、响应时间较为迅速的，得</w:t>
      </w:r>
      <w:r>
        <w:rPr>
          <w:rFonts w:hint="eastAsia" w:cs="宋体"/>
          <w:sz w:val="24"/>
          <w:szCs w:val="24"/>
          <w:lang w:val="en-US" w:eastAsia="zh-CN"/>
        </w:rPr>
        <w:t>6</w:t>
      </w:r>
      <w:r>
        <w:rPr>
          <w:rFonts w:hint="eastAsia" w:cs="宋体"/>
          <w:sz w:val="24"/>
          <w:szCs w:val="24"/>
        </w:rPr>
        <w:t>分；</w:t>
      </w:r>
    </w:p>
    <w:p>
      <w:pPr>
        <w:pStyle w:val="92"/>
        <w:spacing w:line="380" w:lineRule="exact"/>
        <w:ind w:firstLine="480" w:firstLineChars="200"/>
        <w:rPr>
          <w:rFonts w:cs="宋体"/>
          <w:sz w:val="24"/>
          <w:szCs w:val="24"/>
        </w:rPr>
      </w:pPr>
      <w:r>
        <w:rPr>
          <w:rFonts w:hint="eastAsia" w:cs="宋体"/>
          <w:sz w:val="24"/>
          <w:szCs w:val="24"/>
        </w:rPr>
        <w:t>3）提供的服务措施（包含售后服务计划、承诺、服务内容、响应时间等）整体内容完善、响应时间迅速的，得</w:t>
      </w:r>
      <w:r>
        <w:rPr>
          <w:rFonts w:hint="eastAsia" w:cs="宋体"/>
          <w:sz w:val="24"/>
          <w:szCs w:val="24"/>
          <w:lang w:val="en-US" w:eastAsia="zh-CN"/>
        </w:rPr>
        <w:t>9</w:t>
      </w:r>
      <w:r>
        <w:rPr>
          <w:rFonts w:hint="eastAsia" w:cs="宋体"/>
          <w:sz w:val="24"/>
          <w:szCs w:val="24"/>
        </w:rPr>
        <w:t>分；</w:t>
      </w:r>
    </w:p>
    <w:p>
      <w:pPr>
        <w:spacing w:line="380" w:lineRule="exact"/>
        <w:rPr>
          <w:rFonts w:ascii="宋体" w:hAnsi="宋体" w:cs="宋体"/>
          <w:b/>
          <w:sz w:val="24"/>
        </w:rPr>
      </w:pPr>
      <w:r>
        <w:rPr>
          <w:rFonts w:hint="eastAsia" w:ascii="宋体" w:hAnsi="宋体" w:cs="宋体"/>
          <w:b/>
          <w:sz w:val="24"/>
        </w:rPr>
        <w:t>3、</w:t>
      </w:r>
      <w:r>
        <w:rPr>
          <w:rFonts w:hint="eastAsia" w:ascii="宋体" w:hAnsi="宋体" w:cs="宋体"/>
          <w:b/>
          <w:bCs/>
          <w:sz w:val="24"/>
        </w:rPr>
        <w:t>商务分</w:t>
      </w:r>
      <w:r>
        <w:rPr>
          <w:rFonts w:hint="eastAsia" w:ascii="宋体" w:hAnsi="宋体" w:cs="宋体"/>
          <w:b/>
          <w:sz w:val="24"/>
        </w:rPr>
        <w:t>……………………………………………………………………………………</w:t>
      </w:r>
      <w:r>
        <w:rPr>
          <w:rFonts w:hint="eastAsia" w:ascii="宋体" w:hAnsi="宋体" w:cs="宋体"/>
          <w:b/>
          <w:bCs/>
          <w:sz w:val="24"/>
        </w:rPr>
        <w:t>30分</w:t>
      </w:r>
    </w:p>
    <w:p>
      <w:pPr>
        <w:pStyle w:val="92"/>
        <w:spacing w:line="380" w:lineRule="exact"/>
        <w:ind w:firstLine="480" w:firstLineChars="200"/>
        <w:rPr>
          <w:rFonts w:cs="宋体"/>
          <w:sz w:val="24"/>
          <w:szCs w:val="24"/>
        </w:rPr>
      </w:pPr>
      <w:r>
        <w:rPr>
          <w:rFonts w:hint="eastAsia" w:cs="宋体"/>
          <w:sz w:val="24"/>
          <w:szCs w:val="24"/>
        </w:rPr>
        <w:t>（1）投标人具备中国合格评定国家认可委员会颁发的</w:t>
      </w:r>
      <w:r>
        <w:rPr>
          <w:rFonts w:hint="eastAsia" w:cs="宋体"/>
          <w:b/>
          <w:sz w:val="24"/>
          <w:szCs w:val="24"/>
        </w:rPr>
        <w:t xml:space="preserve">实验室认可和检验机构认可证书 </w:t>
      </w:r>
      <w:r>
        <w:rPr>
          <w:rFonts w:hint="eastAsia" w:cs="宋体"/>
          <w:sz w:val="24"/>
          <w:szCs w:val="24"/>
        </w:rPr>
        <w:t>的，得5分。需提供CNAS证书扫描件并加盖投标人公章，否则不得分。</w:t>
      </w:r>
    </w:p>
    <w:p>
      <w:pPr>
        <w:pStyle w:val="92"/>
        <w:spacing w:line="380" w:lineRule="exact"/>
        <w:ind w:firstLine="480" w:firstLineChars="200"/>
        <w:rPr>
          <w:rFonts w:cs="宋体"/>
          <w:sz w:val="24"/>
          <w:szCs w:val="24"/>
        </w:rPr>
      </w:pPr>
      <w:r>
        <w:rPr>
          <w:rFonts w:hint="eastAsia" w:cs="宋体"/>
          <w:sz w:val="24"/>
          <w:szCs w:val="24"/>
        </w:rPr>
        <w:t>（2）投标人具有专精特新企业的，得4分，否则得0分（提供证书复印件加盖单位公章，原件备查）；</w:t>
      </w:r>
    </w:p>
    <w:p>
      <w:pPr>
        <w:spacing w:line="300" w:lineRule="auto"/>
        <w:ind w:firstLine="480" w:firstLineChars="200"/>
        <w:rPr>
          <w:rFonts w:ascii="宋体" w:hAnsi="宋体" w:cs="宋体"/>
          <w:sz w:val="24"/>
        </w:rPr>
      </w:pPr>
      <w:r>
        <w:rPr>
          <w:rFonts w:hint="eastAsia" w:ascii="宋体" w:hAnsi="宋体" w:cs="宋体"/>
          <w:sz w:val="24"/>
        </w:rPr>
        <w:t>（3）投标人具有中国网络安全审查技术与认证中心颁发的信息安全服务资质认证证书（CCRC），含软件安全开发、信息安全风险评估、信息系统安全运维服务资质，每提供一份得1分，满分3分。需提供CCRC证书扫描件并加盖投标人公章，否则不得分。</w:t>
      </w:r>
    </w:p>
    <w:p>
      <w:pPr>
        <w:spacing w:line="300" w:lineRule="auto"/>
        <w:ind w:firstLine="480" w:firstLineChars="200"/>
        <w:rPr>
          <w:rFonts w:ascii="宋体" w:hAnsi="宋体" w:cs="宋体"/>
          <w:sz w:val="24"/>
        </w:rPr>
      </w:pPr>
      <w:r>
        <w:rPr>
          <w:rFonts w:hint="eastAsia" w:ascii="宋体" w:hAnsi="宋体" w:cs="宋体"/>
          <w:sz w:val="24"/>
        </w:rPr>
        <w:t>（4）投标人具有涉密信息系统集成资质证书（系统咨询）的得3分。需提供证书扫描件加盖投标人公章，否则不得分。</w:t>
      </w:r>
    </w:p>
    <w:p>
      <w:pPr>
        <w:spacing w:line="300" w:lineRule="auto"/>
        <w:ind w:firstLine="480" w:firstLineChars="200"/>
        <w:rPr>
          <w:rFonts w:ascii="宋体" w:hAnsi="宋体" w:cs="宋体"/>
          <w:sz w:val="24"/>
        </w:rPr>
      </w:pPr>
      <w:r>
        <w:rPr>
          <w:rFonts w:hint="eastAsia" w:ascii="宋体" w:hAnsi="宋体" w:cs="宋体"/>
          <w:sz w:val="24"/>
        </w:rPr>
        <w:t>（5）技术团队人员情况（满分10分）</w:t>
      </w:r>
    </w:p>
    <w:p>
      <w:pPr>
        <w:spacing w:line="300" w:lineRule="auto"/>
        <w:ind w:firstLine="480" w:firstLineChars="200"/>
        <w:rPr>
          <w:rFonts w:ascii="宋体" w:hAnsi="宋体" w:cs="宋体"/>
          <w:sz w:val="24"/>
        </w:rPr>
      </w:pPr>
      <w:r>
        <w:rPr>
          <w:rFonts w:hint="eastAsia" w:ascii="宋体" w:hAnsi="宋体" w:cs="宋体"/>
          <w:sz w:val="24"/>
        </w:rPr>
        <w:t>1）投标人的项目负责人同时具有CNAS实验室认可评审员资格、国际软件测试工程师认证（ISTQB）及高级职称得4分，仅具有其中一个认证证书的得</w:t>
      </w:r>
      <w:r>
        <w:rPr>
          <w:rFonts w:hint="eastAsia" w:ascii="宋体" w:hAnsi="宋体" w:cs="宋体"/>
          <w:sz w:val="24"/>
          <w:lang w:val="en-US" w:eastAsia="zh-CN"/>
        </w:rPr>
        <w:t>1</w:t>
      </w:r>
      <w:r>
        <w:rPr>
          <w:rFonts w:hint="eastAsia" w:ascii="宋体" w:hAnsi="宋体" w:cs="宋体"/>
          <w:sz w:val="24"/>
        </w:rPr>
        <w:t>分，没有得0分,满分4分；</w:t>
      </w:r>
    </w:p>
    <w:p>
      <w:pPr>
        <w:spacing w:line="300" w:lineRule="auto"/>
        <w:ind w:firstLine="480" w:firstLineChars="200"/>
        <w:rPr>
          <w:rFonts w:ascii="宋体" w:hAnsi="宋体" w:cs="宋体"/>
          <w:sz w:val="24"/>
        </w:rPr>
      </w:pPr>
      <w:r>
        <w:rPr>
          <w:rFonts w:hint="eastAsia" w:ascii="宋体" w:hAnsi="宋体" w:cs="宋体"/>
          <w:sz w:val="24"/>
        </w:rPr>
        <w:t>2）投标人拟投入本项目的技术人员中，具有国家相关部委颁发的软件评测师资格证书或具有国际软件测试工程师认证（ISTQB）证书或具有国家相关部委颁发的计算机软件产品检验员三级以上（含三级）职业资格证书，每提供一个人员证书得2分。满分得6分，同一人取得多项证书的不重复计分。</w:t>
      </w:r>
    </w:p>
    <w:p>
      <w:pPr>
        <w:spacing w:line="300" w:lineRule="auto"/>
        <w:ind w:firstLine="480" w:firstLineChars="200"/>
        <w:rPr>
          <w:rFonts w:ascii="宋体" w:hAnsi="宋体" w:cs="宋体"/>
          <w:sz w:val="24"/>
        </w:rPr>
      </w:pPr>
      <w:r>
        <w:rPr>
          <w:rFonts w:hint="eastAsia" w:ascii="宋体" w:hAnsi="宋体" w:cs="宋体"/>
          <w:sz w:val="24"/>
        </w:rPr>
        <w:t>注：（提供以上证书复印件并加盖公章及2023年至今任意6个月的社保证明复印件，且社保缴纳单位必须与投标人名称一致）</w:t>
      </w:r>
    </w:p>
    <w:p>
      <w:pPr>
        <w:spacing w:line="300" w:lineRule="auto"/>
        <w:ind w:firstLine="480" w:firstLineChars="200"/>
        <w:rPr>
          <w:rFonts w:ascii="宋体" w:hAnsi="宋体" w:cs="宋体"/>
          <w:sz w:val="24"/>
        </w:rPr>
      </w:pPr>
      <w:r>
        <w:rPr>
          <w:rFonts w:hint="eastAsia" w:ascii="宋体" w:hAnsi="宋体" w:cs="宋体"/>
          <w:sz w:val="24"/>
        </w:rPr>
        <w:t>（6）具备有效的ISO9001质量管理体系认证证书、ISO14001环境管理体系认证证书、ISO45001职业健康安全管理体系认证证书、ISO27001信息安全管理体系认证证书、AAA级企业信用等级认证证书，每提供一份得1分，满分5分。 注：提供证书复印件并加盖公章，否则不得分。</w:t>
      </w:r>
    </w:p>
    <w:p>
      <w:pPr>
        <w:pStyle w:val="92"/>
        <w:spacing w:line="380" w:lineRule="exact"/>
        <w:ind w:firstLine="482" w:firstLineChars="200"/>
        <w:rPr>
          <w:rFonts w:cs="宋体"/>
          <w:b/>
          <w:sz w:val="24"/>
          <w:szCs w:val="24"/>
        </w:rPr>
      </w:pPr>
      <w:r>
        <w:rPr>
          <w:rFonts w:hint="eastAsia" w:cs="宋体"/>
          <w:b/>
          <w:sz w:val="24"/>
          <w:szCs w:val="24"/>
        </w:rPr>
        <w:t>4、业绩分（满分10分）</w:t>
      </w:r>
    </w:p>
    <w:p>
      <w:pPr>
        <w:pStyle w:val="92"/>
        <w:spacing w:line="380" w:lineRule="exact"/>
        <w:ind w:firstLine="480" w:firstLineChars="200"/>
        <w:rPr>
          <w:rFonts w:cs="宋体"/>
          <w:sz w:val="24"/>
          <w:szCs w:val="24"/>
        </w:rPr>
      </w:pPr>
      <w:r>
        <w:rPr>
          <w:rFonts w:hint="eastAsia" w:cs="宋体"/>
          <w:sz w:val="24"/>
          <w:szCs w:val="24"/>
        </w:rPr>
        <w:t xml:space="preserve">投标人自2021年以来具有同类项目业绩的，根据投标人近三年（自招标公告发出之日起往前推）承担的信息化测评项目的合同进行评分，每提供一份计1分，最多得10分。投标文件中提供业绩合同关键页（包括但不限于以下页面：封面页、合同服务内容、合同金额、合同签字盖章页）复印件加盖投标人公章。以合同签订时间为准。 </w:t>
      </w:r>
    </w:p>
    <w:p>
      <w:pPr>
        <w:spacing w:line="380" w:lineRule="exact"/>
        <w:ind w:firstLine="482" w:firstLineChars="200"/>
        <w:rPr>
          <w:rFonts w:ascii="宋体" w:hAnsi="宋体" w:cs="宋体"/>
          <w:b/>
          <w:sz w:val="24"/>
        </w:rPr>
      </w:pPr>
      <w:r>
        <w:rPr>
          <w:rFonts w:hint="eastAsia" w:ascii="宋体" w:hAnsi="宋体" w:cs="宋体"/>
          <w:b/>
          <w:sz w:val="24"/>
        </w:rPr>
        <w:t>5、总得分=1 + 2 + 3 +4 。</w:t>
      </w:r>
    </w:p>
    <w:p>
      <w:pPr>
        <w:pStyle w:val="24"/>
        <w:spacing w:line="380" w:lineRule="exact"/>
        <w:ind w:left="0"/>
        <w:rPr>
          <w:rFonts w:ascii="宋体" w:hAnsi="宋体" w:cs="宋体"/>
          <w:b/>
          <w:bCs/>
          <w:sz w:val="24"/>
        </w:rPr>
      </w:pPr>
      <w:r>
        <w:rPr>
          <w:rFonts w:hint="eastAsia" w:ascii="宋体" w:hAnsi="宋体" w:cs="宋体"/>
          <w:b/>
          <w:bCs/>
          <w:sz w:val="24"/>
        </w:rPr>
        <w:t>三、中标候选供应商推荐原则</w:t>
      </w:r>
    </w:p>
    <w:p>
      <w:pPr>
        <w:pStyle w:val="24"/>
        <w:spacing w:line="380" w:lineRule="exact"/>
        <w:ind w:left="0" w:firstLine="480" w:firstLineChars="200"/>
        <w:rPr>
          <w:rFonts w:ascii="宋体" w:hAnsi="宋体" w:cs="宋体"/>
          <w:bCs/>
          <w:sz w:val="24"/>
        </w:rPr>
      </w:pPr>
      <w:r>
        <w:rPr>
          <w:rFonts w:hint="eastAsia" w:ascii="宋体" w:hAnsi="宋体" w:cs="宋体"/>
          <w:bCs/>
          <w:sz w:val="24"/>
        </w:rPr>
        <w:t>（一）评标委员会将根据得分由高到低排列次序（得分相同时，以投标报价由低到高顺序排列；得分且投标报价相同的并列，按服务方案优劣顺序排列）并推荐中标候选人。采购人应当确定评审委员会推荐排名第一的中标候选人为</w:t>
      </w:r>
      <w:r>
        <w:rPr>
          <w:rFonts w:hint="eastAsia" w:ascii="宋体" w:hAnsi="宋体" w:cs="宋体"/>
          <w:sz w:val="24"/>
        </w:rPr>
        <w:t>中标人</w:t>
      </w:r>
      <w:r>
        <w:rPr>
          <w:rFonts w:hint="eastAsia" w:ascii="宋体" w:hAnsi="宋体" w:cs="宋体"/>
          <w:bCs/>
          <w:sz w:val="24"/>
        </w:rPr>
        <w:t>。排名第一的中标候选人放弃中标、因不可抗力或者自身原因提出不能履行合同，采购人可以确定排名第二的中标候选人为</w:t>
      </w:r>
      <w:r>
        <w:rPr>
          <w:rFonts w:hint="eastAsia" w:ascii="宋体" w:hAnsi="宋体" w:cs="宋体"/>
          <w:sz w:val="24"/>
        </w:rPr>
        <w:t>中标人</w:t>
      </w:r>
      <w:r>
        <w:rPr>
          <w:rFonts w:hint="eastAsia" w:ascii="宋体" w:hAnsi="宋体" w:cs="宋体"/>
          <w:bCs/>
          <w:sz w:val="24"/>
        </w:rPr>
        <w:t>。排名第二的中标候选人因前款规定的同样原因不能签订合同的，采购人、采购代理机构可以确定排名第三的中标候选人为中标人，采购人也可以决定重新采购。对采购过程、中标结果提出的质疑，合格供应商符合法定数量时，可以从合格的中标候选人中另行确定中标人的，应当依法另行确定中标人；否则应当重新开展采购活动。</w:t>
      </w:r>
    </w:p>
    <w:p>
      <w:pPr>
        <w:pStyle w:val="24"/>
        <w:spacing w:line="380" w:lineRule="exact"/>
        <w:ind w:left="0" w:firstLine="480" w:firstLineChars="200"/>
        <w:rPr>
          <w:rFonts w:ascii="宋体" w:hAnsi="宋体" w:cs="宋体"/>
          <w:sz w:val="24"/>
        </w:rPr>
      </w:pPr>
      <w:r>
        <w:rPr>
          <w:rFonts w:hint="eastAsia" w:ascii="宋体" w:hAnsi="宋体" w:cs="宋体"/>
          <w:bCs/>
          <w:sz w:val="24"/>
        </w:rPr>
        <w:t>（二）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00" w:lineRule="exact"/>
        <w:ind w:firstLine="480" w:firstLineChars="200"/>
        <w:jc w:val="left"/>
        <w:rPr>
          <w:rFonts w:ascii="宋体" w:hAnsi="宋体"/>
          <w:bCs/>
        </w:rPr>
      </w:pPr>
      <w:r>
        <w:rPr>
          <w:rFonts w:hint="eastAsia" w:ascii="宋体" w:hAnsi="宋体" w:cs="宋体"/>
          <w:bCs/>
          <w:sz w:val="24"/>
        </w:rPr>
        <w:br w:type="page"/>
      </w:r>
    </w:p>
    <w:p>
      <w:pPr>
        <w:spacing w:line="500" w:lineRule="exact"/>
        <w:ind w:firstLine="3534" w:firstLineChars="1100"/>
        <w:outlineLvl w:val="0"/>
        <w:rPr>
          <w:rFonts w:ascii="宋体" w:hAnsi="宋体"/>
          <w:b/>
          <w:sz w:val="28"/>
          <w:szCs w:val="32"/>
        </w:rPr>
      </w:pPr>
      <w:r>
        <w:rPr>
          <w:rFonts w:hint="eastAsia" w:ascii="宋体" w:hAnsi="宋体"/>
          <w:b/>
          <w:sz w:val="32"/>
          <w:szCs w:val="32"/>
        </w:rPr>
        <w:t xml:space="preserve">第五章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5"/>
        <w:snapToGrid w:val="0"/>
        <w:spacing w:before="120" w:after="120"/>
        <w:outlineLvl w:val="1"/>
        <w:rPr>
          <w:rFonts w:ascii="Times New Roman" w:hAnsi="Times New Roman" w:eastAsia="仿宋"/>
          <w:b/>
          <w:sz w:val="24"/>
          <w:szCs w:val="24"/>
        </w:rPr>
      </w:pPr>
      <w:bookmarkStart w:id="3" w:name="_Toc293863331"/>
      <w:bookmarkStart w:id="4" w:name="_Toc301424939"/>
      <w:bookmarkStart w:id="5" w:name="_Toc326217565"/>
      <w:bookmarkStart w:id="6" w:name="_Toc293863061"/>
      <w:r>
        <w:rPr>
          <w:rFonts w:ascii="Times New Roman" w:hAnsi="Times New Roman" w:eastAsia="仿宋"/>
          <w:b/>
          <w:sz w:val="24"/>
          <w:szCs w:val="24"/>
        </w:rPr>
        <w:t>一、响应文件外层包装封面及响应文件外封面格式</w:t>
      </w:r>
      <w:bookmarkEnd w:id="3"/>
      <w:bookmarkEnd w:id="4"/>
      <w:bookmarkEnd w:id="5"/>
      <w:bookmarkEnd w:id="6"/>
    </w:p>
    <w:p>
      <w:pPr>
        <w:snapToGrid w:val="0"/>
        <w:spacing w:before="260" w:beforeLines="50" w:after="50"/>
        <w:rPr>
          <w:rFonts w:eastAsia="仿宋"/>
          <w:b/>
          <w:sz w:val="24"/>
        </w:rPr>
      </w:pPr>
      <w:bookmarkStart w:id="7" w:name="_Toc293863062"/>
      <w:bookmarkStart w:id="8" w:name="_Toc293863332"/>
    </w:p>
    <w:p>
      <w:pPr>
        <w:pStyle w:val="15"/>
        <w:snapToGrid w:val="0"/>
        <w:spacing w:before="120" w:after="120"/>
        <w:outlineLvl w:val="2"/>
        <w:rPr>
          <w:rFonts w:ascii="Times New Roman" w:hAnsi="Times New Roman" w:eastAsia="仿宋"/>
          <w:b/>
          <w:sz w:val="24"/>
          <w:szCs w:val="24"/>
        </w:rPr>
      </w:pPr>
      <w:bookmarkStart w:id="9" w:name="_Toc326217566"/>
      <w:bookmarkStart w:id="10" w:name="_Toc301424940"/>
      <w:r>
        <w:rPr>
          <w:rFonts w:ascii="Times New Roman" w:hAnsi="Times New Roman" w:eastAsia="仿宋"/>
          <w:b/>
          <w:sz w:val="24"/>
          <w:szCs w:val="24"/>
        </w:rPr>
        <w:t>1.所有响应文件的外包装封面格式（格式可自拟）：</w:t>
      </w:r>
      <w:bookmarkEnd w:id="7"/>
      <w:bookmarkEnd w:id="8"/>
      <w:bookmarkEnd w:id="9"/>
      <w:bookmarkEnd w:id="10"/>
    </w:p>
    <w:p>
      <w:pPr>
        <w:snapToGrid w:val="0"/>
        <w:spacing w:before="260" w:beforeLines="50" w:after="50"/>
        <w:rPr>
          <w:rFonts w:eastAsia="仿宋"/>
          <w:sz w:val="24"/>
          <w:szCs w:val="20"/>
        </w:rPr>
      </w:pPr>
    </w:p>
    <w:p>
      <w:pPr>
        <w:snapToGrid w:val="0"/>
        <w:spacing w:before="260" w:beforeLines="50" w:after="50"/>
        <w:jc w:val="center"/>
        <w:rPr>
          <w:rFonts w:eastAsia="仿宋"/>
          <w:bCs/>
          <w:sz w:val="24"/>
          <w:szCs w:val="20"/>
        </w:rPr>
      </w:pPr>
    </w:p>
    <w:p>
      <w:pPr>
        <w:snapToGrid w:val="0"/>
        <w:spacing w:before="260" w:beforeLines="50" w:after="50"/>
        <w:jc w:val="center"/>
        <w:rPr>
          <w:rFonts w:eastAsia="仿宋"/>
          <w:b/>
          <w:bCs/>
          <w:sz w:val="52"/>
          <w:szCs w:val="52"/>
        </w:rPr>
      </w:pPr>
      <w:r>
        <w:rPr>
          <w:rFonts w:eastAsia="仿宋"/>
          <w:b/>
          <w:bCs/>
          <w:sz w:val="52"/>
          <w:szCs w:val="52"/>
        </w:rPr>
        <w:t>响应文件</w:t>
      </w:r>
    </w:p>
    <w:p>
      <w:pPr>
        <w:snapToGrid w:val="0"/>
        <w:spacing w:before="260" w:beforeLines="50" w:after="50"/>
        <w:rPr>
          <w:rFonts w:eastAsia="仿宋"/>
          <w:bCs/>
          <w:sz w:val="24"/>
          <w:szCs w:val="20"/>
        </w:rPr>
      </w:pPr>
    </w:p>
    <w:p>
      <w:pPr>
        <w:snapToGrid w:val="0"/>
        <w:spacing w:before="260"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260" w:beforeLines="50" w:after="50"/>
        <w:ind w:firstLine="1100" w:firstLineChars="393"/>
        <w:rPr>
          <w:rFonts w:eastAsia="仿宋"/>
          <w:bCs/>
          <w:sz w:val="28"/>
          <w:szCs w:val="28"/>
        </w:rPr>
      </w:pPr>
      <w:r>
        <w:rPr>
          <w:rFonts w:eastAsia="仿宋"/>
          <w:bCs/>
          <w:sz w:val="28"/>
          <w:szCs w:val="28"/>
        </w:rPr>
        <w:t xml:space="preserve">     </w:t>
      </w: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名称：盖章</w:t>
      </w:r>
    </w:p>
    <w:p>
      <w:pPr>
        <w:pStyle w:val="5"/>
        <w:snapToGrid w:val="0"/>
        <w:spacing w:before="50" w:after="50"/>
        <w:ind w:firstLine="1164" w:firstLineChars="416"/>
        <w:rPr>
          <w:rFonts w:eastAsia="仿宋"/>
          <w:bCs/>
          <w:sz w:val="28"/>
          <w:szCs w:val="28"/>
        </w:rPr>
      </w:pP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地址：</w:t>
      </w:r>
    </w:p>
    <w:p>
      <w:pPr>
        <w:pStyle w:val="5"/>
        <w:snapToGrid w:val="0"/>
        <w:spacing w:before="50" w:after="50"/>
        <w:ind w:firstLine="1120" w:firstLineChars="400"/>
        <w:rPr>
          <w:rFonts w:eastAsia="仿宋"/>
          <w:bCs/>
          <w:sz w:val="28"/>
          <w:szCs w:val="28"/>
        </w:rPr>
      </w:pPr>
    </w:p>
    <w:p>
      <w:pPr>
        <w:snapToGrid w:val="0"/>
        <w:spacing w:before="260" w:beforeLines="50" w:after="50"/>
        <w:ind w:firstLine="4760" w:firstLineChars="1700"/>
        <w:rPr>
          <w:rFonts w:eastAsia="仿宋"/>
          <w:bCs/>
          <w:sz w:val="28"/>
          <w:szCs w:val="28"/>
        </w:rPr>
      </w:pPr>
    </w:p>
    <w:p>
      <w:pPr>
        <w:snapToGrid w:val="0"/>
        <w:spacing w:before="260" w:beforeLines="50" w:after="50"/>
        <w:ind w:firstLine="645"/>
        <w:jc w:val="center"/>
        <w:rPr>
          <w:rFonts w:eastAsia="仿宋"/>
          <w:bCs/>
          <w:sz w:val="28"/>
          <w:szCs w:val="28"/>
        </w:rPr>
      </w:pPr>
      <w:r>
        <w:rPr>
          <w:rFonts w:eastAsia="仿宋"/>
          <w:bCs/>
          <w:sz w:val="28"/>
          <w:szCs w:val="28"/>
        </w:rPr>
        <w:t xml:space="preserve">                        年  月  日</w:t>
      </w:r>
    </w:p>
    <w:p>
      <w:pPr>
        <w:snapToGrid w:val="0"/>
        <w:spacing w:before="260" w:beforeLines="50" w:after="50"/>
        <w:ind w:firstLine="645"/>
        <w:rPr>
          <w:rFonts w:eastAsia="仿宋"/>
          <w:bCs/>
          <w:sz w:val="24"/>
        </w:rPr>
      </w:pPr>
    </w:p>
    <w:p>
      <w:pPr>
        <w:pStyle w:val="15"/>
        <w:snapToGrid w:val="0"/>
        <w:spacing w:before="120" w:after="120"/>
        <w:outlineLvl w:val="2"/>
        <w:rPr>
          <w:rFonts w:ascii="Times New Roman" w:hAnsi="Times New Roman" w:eastAsia="仿宋"/>
          <w:b/>
          <w:sz w:val="24"/>
          <w:szCs w:val="24"/>
        </w:rPr>
      </w:pPr>
      <w:r>
        <w:rPr>
          <w:rFonts w:ascii="Times New Roman" w:hAnsi="Times New Roman" w:eastAsia="仿宋"/>
          <w:b/>
        </w:rPr>
        <w:br w:type="page"/>
      </w:r>
      <w:bookmarkStart w:id="11" w:name="_Toc301424941"/>
      <w:bookmarkStart w:id="12" w:name="_Toc326217567"/>
      <w:r>
        <w:rPr>
          <w:rFonts w:ascii="Times New Roman" w:hAnsi="Times New Roman" w:eastAsia="仿宋"/>
          <w:b/>
          <w:sz w:val="24"/>
          <w:szCs w:val="24"/>
        </w:rPr>
        <w:t>2.响应文件外封面格式（格式可自拟）：</w:t>
      </w:r>
      <w:bookmarkEnd w:id="11"/>
      <w:bookmarkEnd w:id="12"/>
    </w:p>
    <w:p>
      <w:pPr>
        <w:snapToGrid w:val="0"/>
        <w:spacing w:before="260" w:beforeLines="50" w:after="50"/>
        <w:ind w:firstLine="8160" w:firstLineChars="3400"/>
        <w:rPr>
          <w:rFonts w:eastAsia="仿宋"/>
          <w:bCs/>
          <w:sz w:val="24"/>
        </w:rPr>
      </w:pPr>
      <w:r>
        <w:rPr>
          <w:rFonts w:eastAsia="仿宋"/>
          <w:bCs/>
          <w:sz w:val="24"/>
        </w:rPr>
        <w:t>正本/或副本</w:t>
      </w:r>
    </w:p>
    <w:p>
      <w:pPr>
        <w:snapToGrid w:val="0"/>
        <w:spacing w:before="260" w:beforeLines="50" w:after="50"/>
        <w:rPr>
          <w:rFonts w:eastAsia="仿宋"/>
          <w:sz w:val="24"/>
          <w:szCs w:val="20"/>
        </w:rPr>
      </w:pPr>
    </w:p>
    <w:p>
      <w:pPr>
        <w:snapToGrid w:val="0"/>
        <w:spacing w:before="260" w:beforeLines="50" w:after="50"/>
        <w:jc w:val="center"/>
        <w:rPr>
          <w:rFonts w:eastAsia="仿宋"/>
          <w:bCs/>
          <w:sz w:val="24"/>
          <w:szCs w:val="20"/>
        </w:rPr>
      </w:pPr>
    </w:p>
    <w:p>
      <w:pPr>
        <w:snapToGrid w:val="0"/>
        <w:spacing w:before="260" w:beforeLines="50" w:after="50"/>
        <w:jc w:val="center"/>
        <w:rPr>
          <w:rFonts w:eastAsia="仿宋"/>
          <w:bCs/>
          <w:sz w:val="24"/>
          <w:szCs w:val="20"/>
        </w:rPr>
      </w:pPr>
      <w:r>
        <w:rPr>
          <w:rFonts w:eastAsia="仿宋"/>
          <w:b/>
          <w:bCs/>
          <w:sz w:val="52"/>
          <w:szCs w:val="52"/>
        </w:rPr>
        <w:t>响应文件</w:t>
      </w:r>
    </w:p>
    <w:p>
      <w:pPr>
        <w:snapToGrid w:val="0"/>
        <w:spacing w:before="260" w:beforeLines="50" w:after="50"/>
        <w:ind w:firstLine="943" w:firstLineChars="393"/>
        <w:rPr>
          <w:rFonts w:eastAsia="仿宋"/>
          <w:bCs/>
          <w:sz w:val="24"/>
        </w:rPr>
      </w:pPr>
    </w:p>
    <w:p>
      <w:pPr>
        <w:snapToGrid w:val="0"/>
        <w:spacing w:before="260"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260" w:beforeLines="50" w:after="50"/>
        <w:ind w:firstLine="943" w:firstLineChars="393"/>
        <w:rPr>
          <w:rFonts w:eastAsia="仿宋"/>
          <w:bCs/>
          <w:sz w:val="24"/>
        </w:rPr>
      </w:pPr>
      <w:r>
        <w:rPr>
          <w:rFonts w:eastAsia="仿宋"/>
          <w:bCs/>
          <w:sz w:val="24"/>
        </w:rPr>
        <w:t xml:space="preserve">     </w:t>
      </w:r>
    </w:p>
    <w:p>
      <w:pPr>
        <w:pStyle w:val="5"/>
        <w:snapToGrid w:val="0"/>
        <w:spacing w:before="50" w:after="50"/>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before="50" w:after="50"/>
        <w:ind w:firstLine="998" w:firstLineChars="416"/>
        <w:rPr>
          <w:rFonts w:eastAsia="仿宋"/>
          <w:bCs/>
          <w:sz w:val="24"/>
        </w:rPr>
      </w:pPr>
    </w:p>
    <w:p>
      <w:pPr>
        <w:pStyle w:val="5"/>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5"/>
        <w:snapToGrid w:val="0"/>
        <w:spacing w:before="50" w:after="50"/>
        <w:ind w:firstLine="960" w:firstLineChars="400"/>
        <w:rPr>
          <w:rFonts w:eastAsia="仿宋"/>
          <w:bCs/>
          <w:sz w:val="24"/>
        </w:rPr>
      </w:pPr>
    </w:p>
    <w:p>
      <w:pPr>
        <w:pStyle w:val="5"/>
        <w:snapToGrid w:val="0"/>
        <w:spacing w:before="50" w:after="50"/>
        <w:ind w:firstLine="960" w:firstLineChars="400"/>
        <w:rPr>
          <w:rFonts w:eastAsia="仿宋"/>
          <w:bCs/>
          <w:sz w:val="24"/>
        </w:rPr>
      </w:pPr>
    </w:p>
    <w:p>
      <w:pPr>
        <w:snapToGrid w:val="0"/>
        <w:spacing w:before="260" w:beforeLines="50" w:after="50"/>
        <w:ind w:firstLine="4080" w:firstLineChars="1700"/>
        <w:rPr>
          <w:rFonts w:eastAsia="仿宋"/>
          <w:bCs/>
          <w:sz w:val="24"/>
          <w:szCs w:val="20"/>
        </w:rPr>
      </w:pPr>
    </w:p>
    <w:p>
      <w:pPr>
        <w:snapToGrid w:val="0"/>
        <w:spacing w:before="260" w:beforeLines="50" w:after="50"/>
        <w:ind w:firstLine="645"/>
        <w:jc w:val="center"/>
        <w:rPr>
          <w:rFonts w:eastAsia="仿宋"/>
          <w:bCs/>
          <w:sz w:val="24"/>
        </w:rPr>
      </w:pPr>
      <w:r>
        <w:rPr>
          <w:rFonts w:eastAsia="仿宋"/>
          <w:bCs/>
          <w:sz w:val="24"/>
        </w:rPr>
        <w:t xml:space="preserve">                        年  月  日</w:t>
      </w:r>
    </w:p>
    <w:p>
      <w:pPr>
        <w:snapToGrid w:val="0"/>
        <w:spacing w:before="260" w:beforeLines="50" w:after="50"/>
        <w:ind w:firstLine="645"/>
        <w:rPr>
          <w:rFonts w:eastAsia="仿宋"/>
          <w:bCs/>
          <w:sz w:val="24"/>
        </w:rPr>
      </w:pPr>
    </w:p>
    <w:p>
      <w:pPr>
        <w:snapToGrid w:val="0"/>
        <w:spacing w:before="260" w:beforeLines="50" w:after="50"/>
        <w:ind w:firstLine="645"/>
        <w:rPr>
          <w:rFonts w:eastAsia="仿宋"/>
          <w:bCs/>
          <w:sz w:val="24"/>
        </w:rPr>
      </w:pPr>
    </w:p>
    <w:p>
      <w:pPr>
        <w:snapToGrid w:val="0"/>
        <w:spacing w:before="260" w:beforeLines="50" w:after="50"/>
        <w:outlineLvl w:val="1"/>
        <w:rPr>
          <w:rFonts w:eastAsia="仿宋"/>
          <w:b/>
          <w:bCs/>
          <w:sz w:val="24"/>
        </w:rPr>
      </w:pPr>
      <w:r>
        <w:rPr>
          <w:rFonts w:eastAsia="仿宋"/>
          <w:bCs/>
          <w:sz w:val="24"/>
        </w:rPr>
        <w:br w:type="page"/>
      </w:r>
      <w:bookmarkStart w:id="13" w:name="_Toc254970698"/>
      <w:bookmarkStart w:id="14" w:name="_Toc326217568"/>
      <w:bookmarkStart w:id="15" w:name="_Toc301424942"/>
      <w:bookmarkStart w:id="16" w:name="_Toc254970557"/>
      <w:bookmarkStart w:id="17" w:name="_Toc293863063"/>
      <w:bookmarkStart w:id="18" w:name="_Toc293863333"/>
      <w:r>
        <w:rPr>
          <w:rFonts w:eastAsia="仿宋"/>
          <w:b/>
          <w:bCs/>
          <w:sz w:val="24"/>
        </w:rPr>
        <w:t>二、资信/商务文件格式</w:t>
      </w:r>
      <w:bookmarkEnd w:id="13"/>
      <w:bookmarkEnd w:id="14"/>
      <w:bookmarkEnd w:id="15"/>
      <w:bookmarkEnd w:id="16"/>
      <w:bookmarkEnd w:id="17"/>
      <w:bookmarkEnd w:id="18"/>
    </w:p>
    <w:p>
      <w:pPr>
        <w:snapToGrid w:val="0"/>
        <w:spacing w:before="50" w:after="50"/>
        <w:rPr>
          <w:rFonts w:eastAsia="仿宋"/>
          <w:b/>
          <w:sz w:val="24"/>
        </w:rPr>
      </w:pPr>
    </w:p>
    <w:p>
      <w:pPr>
        <w:snapToGrid w:val="0"/>
        <w:spacing w:before="50" w:after="50"/>
        <w:outlineLvl w:val="2"/>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260"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260" w:beforeLines="50" w:after="50"/>
        <w:ind w:firstLine="960" w:firstLineChars="400"/>
        <w:rPr>
          <w:rFonts w:eastAsia="仿宋"/>
          <w:bCs/>
          <w:sz w:val="24"/>
          <w:szCs w:val="20"/>
        </w:rPr>
      </w:pPr>
    </w:p>
    <w:p>
      <w:pPr>
        <w:snapToGrid w:val="0"/>
        <w:spacing w:before="260" w:beforeLines="50" w:after="50"/>
        <w:rPr>
          <w:rFonts w:eastAsia="仿宋"/>
          <w:sz w:val="24"/>
          <w:szCs w:val="20"/>
        </w:rPr>
      </w:pPr>
    </w:p>
    <w:p>
      <w:pPr>
        <w:snapToGrid w:val="0"/>
        <w:spacing w:line="400" w:lineRule="exact"/>
        <w:outlineLvl w:val="2"/>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outlineLvl w:val="3"/>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2</w:t>
      </w:r>
      <w:r>
        <w:rPr>
          <w:rFonts w:eastAsia="仿宋"/>
          <w:color w:val="000000"/>
          <w:sz w:val="24"/>
        </w:rPr>
        <w:t>）</w:t>
      </w:r>
      <w:r>
        <w:rPr>
          <w:rFonts w:eastAsia="仿宋"/>
          <w:sz w:val="24"/>
        </w:rPr>
        <w:t>有效的营业执照副本复印件（对于有经营资质要求的，</w:t>
      </w:r>
      <w:r>
        <w:rPr>
          <w:rFonts w:hint="eastAsia" w:eastAsia="仿宋"/>
          <w:sz w:val="24"/>
        </w:rPr>
        <w:t>报价人</w:t>
      </w:r>
      <w:r>
        <w:rPr>
          <w:rFonts w:eastAsia="仿宋"/>
          <w:sz w:val="24"/>
        </w:rPr>
        <w:t>必须提供有效的经营资质证书副本内页复印件；如</w:t>
      </w:r>
      <w:r>
        <w:rPr>
          <w:rFonts w:hint="eastAsia" w:eastAsia="仿宋"/>
          <w:sz w:val="24"/>
        </w:rPr>
        <w:t>报价人</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3</w:t>
      </w:r>
      <w:r>
        <w:rPr>
          <w:rFonts w:eastAsia="仿宋"/>
          <w:color w:val="000000"/>
          <w:sz w:val="24"/>
        </w:rPr>
        <w:t>）有效的法定代表人（负责人）身份证正反面复印件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6</w:t>
      </w:r>
      <w:r>
        <w:rPr>
          <w:rFonts w:eastAsia="仿宋"/>
          <w:sz w:val="24"/>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）响应文件递交截止之日前半年内报价人任意连续3个月的有效依法缴纳社保费的缴费凭证</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响应文件递交截止之日前半年内任意1个月报价人为项目实施人员缴纳的社保证明</w:t>
      </w:r>
    </w:p>
    <w:p>
      <w:pPr>
        <w:numPr>
          <w:ilvl w:val="0"/>
          <w:numId w:val="6"/>
        </w:numPr>
        <w:snapToGrid w:val="0"/>
        <w:spacing w:line="400" w:lineRule="exact"/>
        <w:ind w:firstLine="480" w:firstLineChars="200"/>
        <w:jc w:val="left"/>
        <w:rPr>
          <w:rFonts w:eastAsia="仿宋"/>
          <w:sz w:val="24"/>
        </w:rPr>
      </w:pPr>
      <w:r>
        <w:rPr>
          <w:rFonts w:hint="eastAsia" w:eastAsia="仿宋"/>
          <w:sz w:val="24"/>
        </w:rPr>
        <w:t>报价人参加政府采购活动前3年内在经营活动中没有重大违法记录的书面声明（格式自拟，原件加盖单位公章）</w:t>
      </w:r>
    </w:p>
    <w:p>
      <w:pPr>
        <w:numPr>
          <w:ilvl w:val="0"/>
          <w:numId w:val="6"/>
        </w:numPr>
        <w:snapToGrid w:val="0"/>
        <w:spacing w:line="400" w:lineRule="exact"/>
        <w:ind w:firstLine="480" w:firstLineChars="200"/>
        <w:jc w:val="left"/>
        <w:rPr>
          <w:rFonts w:eastAsia="仿宋"/>
          <w:sz w:val="24"/>
        </w:rPr>
      </w:pPr>
      <w:r>
        <w:rPr>
          <w:rFonts w:hint="eastAsia" w:eastAsia="仿宋"/>
          <w:sz w:val="24"/>
        </w:rPr>
        <w:t>报价人主体信用记录查询结果截图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11</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2</w:t>
      </w:r>
      <w:r>
        <w:rPr>
          <w:rFonts w:eastAsia="仿宋"/>
          <w:sz w:val="24"/>
        </w:rPr>
        <w:t>）服务承诺书</w:t>
      </w:r>
    </w:p>
    <w:p>
      <w:pPr>
        <w:snapToGrid w:val="0"/>
        <w:spacing w:line="400" w:lineRule="exact"/>
        <w:ind w:firstLine="713" w:firstLineChars="296"/>
        <w:jc w:val="left"/>
        <w:rPr>
          <w:rFonts w:eastAsia="仿宋"/>
          <w:sz w:val="24"/>
        </w:rPr>
      </w:pPr>
      <w:r>
        <w:rPr>
          <w:rFonts w:eastAsia="仿宋"/>
          <w:b/>
          <w:sz w:val="24"/>
        </w:rPr>
        <w:t>可作为</w:t>
      </w:r>
      <w:r>
        <w:rPr>
          <w:rFonts w:hint="eastAsia" w:eastAsia="仿宋"/>
          <w:b/>
          <w:bCs/>
          <w:sz w:val="24"/>
        </w:rPr>
        <w:t>报价人</w:t>
      </w:r>
      <w:r>
        <w:rPr>
          <w:rFonts w:eastAsia="仿宋"/>
          <w:b/>
          <w:bCs/>
          <w:sz w:val="24"/>
        </w:rPr>
        <w:t>资信评分的资质证明材料</w:t>
      </w:r>
      <w:r>
        <w:rPr>
          <w:rFonts w:eastAsia="仿宋"/>
          <w:b/>
          <w:sz w:val="24"/>
        </w:rPr>
        <w:t>（如有）</w:t>
      </w:r>
      <w:r>
        <w:rPr>
          <w:rFonts w:eastAsia="仿宋"/>
          <w:sz w:val="24"/>
        </w:rPr>
        <w:t>：</w:t>
      </w:r>
    </w:p>
    <w:p>
      <w:pPr>
        <w:snapToGrid w:val="0"/>
        <w:spacing w:line="400" w:lineRule="exact"/>
        <w:ind w:firstLine="480" w:firstLineChars="200"/>
        <w:jc w:val="left"/>
        <w:rPr>
          <w:rFonts w:eastAsia="仿宋"/>
          <w:sz w:val="24"/>
        </w:rPr>
      </w:pPr>
      <w:r>
        <w:rPr>
          <w:rFonts w:hint="eastAsia" w:eastAsia="仿宋"/>
          <w:sz w:val="24"/>
        </w:rPr>
        <w:t>（13）报价人的类似成功案例的业绩证明文件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outlineLvl w:val="4"/>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名称）的法定代表人（负责人），我方愿意参加贵方组织的</w:t>
      </w:r>
      <w:r>
        <w:rPr>
          <w:rFonts w:hint="eastAsia" w:eastAsia="仿宋"/>
          <w:sz w:val="24"/>
        </w:rPr>
        <w:t>广西大数据分析公共服务平台、广西融合视频会议系统和广西惠企惠民政策兑现平台第三方软件测评服务采购项目</w:t>
      </w:r>
      <w:r>
        <w:rPr>
          <w:rFonts w:eastAsia="仿宋"/>
          <w:sz w:val="24"/>
        </w:rPr>
        <w:t>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13"/>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outlineLvl w:val="3"/>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有效的营业执照副本复印件并加盖公章；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w:t>
      </w:r>
      <w:r>
        <w:rPr>
          <w:rFonts w:hint="eastAsia" w:eastAsia="仿宋"/>
          <w:b/>
          <w:sz w:val="24"/>
        </w:rPr>
        <w:t>并加盖公章</w:t>
      </w:r>
      <w:r>
        <w:rPr>
          <w:rFonts w:eastAsia="仿宋"/>
          <w:b/>
          <w:sz w:val="24"/>
        </w:rPr>
        <w:t>（如法定代表人（负责人）非中国国籍应提交护照复印件，要求证件有效并与营业执照中的法定代表人（负责人）相符）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outlineLvl w:val="3"/>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2"/>
      </w:pPr>
    </w:p>
    <w:p>
      <w:pPr>
        <w:spacing w:line="400" w:lineRule="exact"/>
        <w:jc w:val="center"/>
        <w:rPr>
          <w:rFonts w:eastAsia="仿宋"/>
          <w:b/>
          <w:spacing w:val="6"/>
          <w:sz w:val="32"/>
          <w:szCs w:val="32"/>
        </w:rPr>
      </w:pPr>
    </w:p>
    <w:p>
      <w:pPr>
        <w:pStyle w:val="2"/>
      </w:pPr>
    </w:p>
    <w:p>
      <w:pPr>
        <w:spacing w:line="400" w:lineRule="exact"/>
        <w:jc w:val="center"/>
        <w:outlineLvl w:val="1"/>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rPr>
        <w:t>广西大数据分析公共服务平台、广西融合视频会议系统和广西惠企惠民政策兑现平台第三方软件测评服务采购</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报价人</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w:t>
      </w:r>
      <w:r>
        <w:rPr>
          <w:rFonts w:hint="eastAsia" w:eastAsia="仿宋"/>
          <w:b/>
          <w:sz w:val="24"/>
        </w:rPr>
        <w:t>并加盖公章</w:t>
      </w:r>
      <w:r>
        <w:rPr>
          <w:rFonts w:eastAsia="仿宋"/>
          <w:b/>
          <w:sz w:val="24"/>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）响应文件递交截止之日前半年内报价人任意连续3个月的有效依法缴纳税费或依法免缴税费的证明（无纳税记录的，应提供由</w:t>
      </w:r>
      <w:r>
        <w:rPr>
          <w:rFonts w:hint="eastAsia" w:eastAsia="仿宋"/>
          <w:b/>
          <w:sz w:val="24"/>
        </w:rPr>
        <w:t>报价人</w:t>
      </w:r>
      <w:r>
        <w:rPr>
          <w:rFonts w:eastAsia="仿宋"/>
          <w:b/>
          <w:sz w:val="24"/>
        </w:rPr>
        <w:t>所在地主管国税、地税部门出具的《依法纳税或依法免税证明》；</w:t>
      </w:r>
      <w:r>
        <w:rPr>
          <w:rFonts w:hint="eastAsia" w:eastAsia="仿宋"/>
          <w:b/>
          <w:sz w:val="24"/>
        </w:rPr>
        <w:t>注册时间不足6个月的公司（以营业执照上注册时间为准）</w:t>
      </w:r>
      <w:r>
        <w:rPr>
          <w:rFonts w:eastAsia="仿宋"/>
          <w:b/>
          <w:sz w:val="24"/>
        </w:rPr>
        <w:t>，则提供公司成立后任意一个月的有效依法缴纳税费或依法免缴税费或依法在办缴税的证明（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）响应文件递交截止之日前半年内报价人任意连续3个月的有效依法缴纳社保费的缴费凭证（无缴费记录的，应提供由</w:t>
      </w:r>
      <w:r>
        <w:rPr>
          <w:rFonts w:hint="eastAsia" w:eastAsia="仿宋"/>
          <w:b/>
          <w:sz w:val="24"/>
        </w:rPr>
        <w:t>报价人</w:t>
      </w:r>
      <w:r>
        <w:rPr>
          <w:rFonts w:eastAsia="仿宋"/>
          <w:b/>
          <w:sz w:val="24"/>
        </w:rPr>
        <w:t>所在地社保部门出具的《依法缴纳或依法免缴社保费证明》；</w:t>
      </w:r>
      <w:r>
        <w:rPr>
          <w:rFonts w:hint="eastAsia" w:eastAsia="仿宋"/>
          <w:b/>
          <w:sz w:val="24"/>
        </w:rPr>
        <w:t>注册时间不足6个月的公司（以营业执照上注册时间为准）</w:t>
      </w:r>
      <w:r>
        <w:rPr>
          <w:rFonts w:eastAsia="仿宋"/>
          <w:b/>
          <w:sz w:val="24"/>
        </w:rPr>
        <w:t>，则提供公司成立后任意一个月的有效依法缴纳社保费或依法免缴社保或在办依法缴纳社保的证明（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8）响应文件递交截止之日前半年内任意1个月报价人为项目实施人员缴纳的社保证明（社保证明必须经报价人所在地的社保部门盖章确认，依法不参与社保的人员，应出具相关的证明文件；复印件加盖单位公章；）</w:t>
      </w:r>
    </w:p>
    <w:p>
      <w:pPr>
        <w:pStyle w:val="2"/>
      </w:pPr>
    </w:p>
    <w:p>
      <w:pPr>
        <w:pStyle w:val="2"/>
      </w:pPr>
    </w:p>
    <w:p>
      <w:pPr>
        <w:numPr>
          <w:ilvl w:val="0"/>
          <w:numId w:val="7"/>
        </w:numPr>
        <w:snapToGrid w:val="0"/>
        <w:spacing w:line="400" w:lineRule="exact"/>
        <w:jc w:val="left"/>
        <w:rPr>
          <w:rFonts w:eastAsia="仿宋"/>
          <w:b/>
          <w:sz w:val="24"/>
        </w:rPr>
      </w:pPr>
      <w:r>
        <w:rPr>
          <w:rFonts w:hint="eastAsia" w:eastAsia="仿宋"/>
          <w:b/>
          <w:sz w:val="24"/>
        </w:rPr>
        <w:t>报价人参加政府采购活动前3年内在经营活动中没有重大违法记录的书面声明（格式自拟，原件加盖单位公章），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7"/>
        </w:numPr>
        <w:snapToGrid w:val="0"/>
        <w:spacing w:line="400" w:lineRule="exact"/>
        <w:jc w:val="left"/>
        <w:rPr>
          <w:rFonts w:eastAsia="仿宋"/>
          <w:b/>
          <w:sz w:val="24"/>
        </w:rPr>
      </w:pPr>
      <w:r>
        <w:rPr>
          <w:rFonts w:hint="eastAsia" w:eastAsia="仿宋"/>
          <w:b/>
          <w:sz w:val="24"/>
        </w:rPr>
        <w:t>报价人主体信用记录查询结果截图（加盖报价人单位公章）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11</w:t>
      </w:r>
      <w:r>
        <w:rPr>
          <w:rFonts w:eastAsia="仿宋"/>
          <w:b/>
          <w:sz w:val="24"/>
        </w:rPr>
        <w:t>）商务响应表格式：</w:t>
      </w:r>
    </w:p>
    <w:tbl>
      <w:tblPr>
        <w:tblStyle w:val="28"/>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报价人</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）服务承诺书（格式自拟）</w:t>
      </w:r>
    </w:p>
    <w:p>
      <w:pPr>
        <w:snapToGrid w:val="0"/>
        <w:spacing w:line="400" w:lineRule="exact"/>
        <w:jc w:val="left"/>
        <w:rPr>
          <w:rFonts w:eastAsia="仿宋"/>
          <w:b/>
          <w:sz w:val="24"/>
        </w:rPr>
      </w:pPr>
    </w:p>
    <w:p>
      <w:pPr>
        <w:sectPr>
          <w:footerReference r:id="rId13" w:type="default"/>
          <w:pgSz w:w="11906" w:h="16838"/>
          <w:pgMar w:top="1134" w:right="1134" w:bottom="1134" w:left="1134" w:header="851" w:footer="992" w:gutter="0"/>
          <w:cols w:space="0" w:num="1"/>
          <w:docGrid w:type="lines" w:linePitch="520" w:charSpace="0"/>
        </w:sectPr>
      </w:pPr>
    </w:p>
    <w:p>
      <w:pPr>
        <w:pStyle w:val="12"/>
      </w:pPr>
    </w:p>
    <w:p>
      <w:pPr>
        <w:pStyle w:val="2"/>
      </w:pPr>
    </w:p>
    <w:p>
      <w:pPr>
        <w:pStyle w:val="2"/>
        <w:snapToGrid w:val="0"/>
        <w:spacing w:line="400" w:lineRule="exact"/>
        <w:rPr>
          <w:rFonts w:eastAsia="仿宋"/>
          <w:b/>
        </w:rPr>
      </w:pPr>
      <w:r>
        <w:rPr>
          <w:rFonts w:hint="eastAsia" w:eastAsia="仿宋"/>
          <w:b/>
        </w:rPr>
        <w:t>（13）报价人的类似成功案例的业绩证明文件：</w:t>
      </w:r>
    </w:p>
    <w:p>
      <w:pPr>
        <w:pStyle w:val="22"/>
        <w:snapToGrid w:val="0"/>
        <w:spacing w:line="400" w:lineRule="exact"/>
        <w:ind w:left="0" w:firstLine="480" w:firstLineChars="200"/>
        <w:jc w:val="left"/>
        <w:rPr>
          <w:rFonts w:eastAsia="仿宋"/>
          <w:sz w:val="24"/>
        </w:rPr>
      </w:pPr>
      <w:r>
        <w:rPr>
          <w:rFonts w:hint="eastAsia" w:eastAsia="仿宋"/>
          <w:sz w:val="24"/>
        </w:rPr>
        <w:t>报价人</w:t>
      </w:r>
      <w:r>
        <w:rPr>
          <w:rFonts w:eastAsia="仿宋"/>
          <w:sz w:val="24"/>
        </w:rPr>
        <w:t>同类项目实施情况一览表格式：（</w:t>
      </w:r>
      <w:r>
        <w:rPr>
          <w:rFonts w:hint="eastAsia" w:eastAsia="仿宋"/>
          <w:sz w:val="24"/>
        </w:rPr>
        <w:t>报价人</w:t>
      </w:r>
      <w:r>
        <w:rPr>
          <w:rFonts w:eastAsia="仿宋"/>
          <w:sz w:val="24"/>
        </w:rPr>
        <w:t>同类项目</w:t>
      </w:r>
      <w:r>
        <w:rPr>
          <w:rFonts w:hint="eastAsia" w:eastAsia="仿宋"/>
          <w:sz w:val="24"/>
        </w:rPr>
        <w:t>中标/成交通知书复印件或有效合同复印件并加盖磋商供应商公章</w:t>
      </w:r>
      <w:r>
        <w:rPr>
          <w:rFonts w:eastAsia="仿宋"/>
          <w:sz w:val="24"/>
        </w:rPr>
        <w:t>，格式可自拟）</w:t>
      </w:r>
    </w:p>
    <w:tbl>
      <w:tblPr>
        <w:tblStyle w:val="28"/>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在填写时，如本表格不适合报价人的实际情况，可根据本表格式自行制表填写。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2.此清单由多页构成的，应逐页加盖报价人法人公章或由法定代表人（负责人）（或委托代理人）签字。</w:t>
      </w:r>
    </w:p>
    <w:p>
      <w:pPr>
        <w:pStyle w:val="2"/>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2"/>
        <w:rPr>
          <w:rFonts w:eastAsia="仿宋"/>
        </w:rPr>
      </w:pPr>
    </w:p>
    <w:p>
      <w:pPr>
        <w:pStyle w:val="22"/>
        <w:snapToGrid w:val="0"/>
        <w:spacing w:line="400" w:lineRule="exact"/>
        <w:ind w:left="480" w:hanging="480"/>
        <w:rPr>
          <w:rFonts w:eastAsia="仿宋"/>
          <w:sz w:val="24"/>
        </w:rPr>
      </w:pPr>
    </w:p>
    <w:p>
      <w:pPr>
        <w:pStyle w:val="2"/>
        <w:rPr>
          <w:rFonts w:eastAsia="仿宋"/>
        </w:rPr>
        <w:sectPr>
          <w:pgSz w:w="16838" w:h="11906" w:orient="landscape"/>
          <w:pgMar w:top="1134" w:right="1134" w:bottom="1134" w:left="1134" w:header="851" w:footer="992" w:gutter="0"/>
          <w:cols w:space="720" w:num="1"/>
          <w:docGrid w:linePitch="312" w:charSpace="0"/>
        </w:sectPr>
      </w:pPr>
    </w:p>
    <w:p>
      <w:pPr>
        <w:widowControl/>
        <w:jc w:val="left"/>
        <w:outlineLvl w:val="1"/>
        <w:rPr>
          <w:rFonts w:eastAsia="仿宋"/>
          <w:b/>
          <w:sz w:val="24"/>
        </w:rPr>
      </w:pPr>
      <w:r>
        <w:rPr>
          <w:rFonts w:eastAsia="仿宋"/>
          <w:b/>
          <w:sz w:val="24"/>
        </w:rPr>
        <w:t>三、技术文件格式</w:t>
      </w:r>
    </w:p>
    <w:p>
      <w:pPr>
        <w:snapToGrid w:val="0"/>
        <w:spacing w:before="156" w:beforeLines="50" w:after="50"/>
        <w:rPr>
          <w:rFonts w:eastAsia="仿宋"/>
          <w:b/>
          <w:sz w:val="24"/>
        </w:rPr>
      </w:pPr>
    </w:p>
    <w:p>
      <w:pPr>
        <w:snapToGrid w:val="0"/>
        <w:spacing w:before="156" w:beforeLines="50" w:after="50"/>
        <w:outlineLvl w:val="2"/>
        <w:rPr>
          <w:rFonts w:eastAsia="仿宋"/>
          <w:b/>
          <w:sz w:val="24"/>
        </w:rPr>
      </w:pPr>
      <w:r>
        <w:rPr>
          <w:rFonts w:eastAsia="仿宋"/>
          <w:b/>
          <w:sz w:val="24"/>
        </w:rPr>
        <w:t xml:space="preserve">1.技术文件内封面格式（格式可自拟）： </w:t>
      </w:r>
    </w:p>
    <w:p>
      <w:pPr>
        <w:snapToGrid w:val="0"/>
        <w:spacing w:before="156" w:beforeLines="50" w:after="50"/>
        <w:jc w:val="center"/>
        <w:rPr>
          <w:rFonts w:eastAsia="仿宋"/>
          <w:b/>
          <w:bCs/>
          <w:sz w:val="52"/>
          <w:szCs w:val="52"/>
        </w:rPr>
      </w:pPr>
    </w:p>
    <w:p>
      <w:pPr>
        <w:snapToGrid w:val="0"/>
        <w:spacing w:before="156" w:beforeLines="50" w:after="50"/>
        <w:jc w:val="center"/>
        <w:rPr>
          <w:rFonts w:eastAsia="仿宋"/>
          <w:b/>
          <w:bCs/>
          <w:sz w:val="52"/>
          <w:szCs w:val="52"/>
        </w:rPr>
      </w:pPr>
      <w:r>
        <w:rPr>
          <w:rFonts w:eastAsia="仿宋"/>
          <w:b/>
          <w:bCs/>
          <w:sz w:val="52"/>
          <w:szCs w:val="52"/>
        </w:rPr>
        <w:t>技 术 文 件</w:t>
      </w:r>
    </w:p>
    <w:p>
      <w:pPr>
        <w:snapToGrid w:val="0"/>
        <w:spacing w:before="156"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56"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outlineLvl w:val="2"/>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hint="eastAsia" w:eastAsia="仿宋"/>
          <w:sz w:val="24"/>
        </w:rPr>
        <w:t>（1）技术响应表；</w:t>
      </w:r>
    </w:p>
    <w:p>
      <w:pPr>
        <w:snapToGrid w:val="0"/>
        <w:spacing w:line="400" w:lineRule="exact"/>
        <w:jc w:val="left"/>
        <w:rPr>
          <w:rFonts w:eastAsia="仿宋"/>
          <w:sz w:val="24"/>
        </w:rPr>
      </w:pPr>
      <w:r>
        <w:rPr>
          <w:rFonts w:hint="eastAsia" w:eastAsia="仿宋"/>
          <w:sz w:val="24"/>
        </w:rPr>
        <w:t>（2）</w:t>
      </w:r>
      <w:r>
        <w:rPr>
          <w:rFonts w:hint="eastAsia" w:eastAsia="仿宋"/>
          <w:sz w:val="24"/>
          <w:lang w:val="en-US" w:eastAsia="zh-CN"/>
        </w:rPr>
        <w:t>服务方案</w:t>
      </w:r>
      <w:r>
        <w:rPr>
          <w:rFonts w:hint="eastAsia" w:eastAsia="仿宋"/>
          <w:sz w:val="24"/>
        </w:rPr>
        <w:t>；</w:t>
      </w:r>
    </w:p>
    <w:p>
      <w:pPr>
        <w:snapToGrid w:val="0"/>
        <w:spacing w:line="400" w:lineRule="exact"/>
        <w:jc w:val="left"/>
        <w:rPr>
          <w:rFonts w:eastAsia="仿宋"/>
          <w:sz w:val="24"/>
        </w:rPr>
      </w:pPr>
      <w:r>
        <w:rPr>
          <w:rFonts w:hint="eastAsia" w:eastAsia="仿宋"/>
          <w:sz w:val="24"/>
        </w:rPr>
        <w:t>（</w:t>
      </w:r>
      <w:r>
        <w:rPr>
          <w:rFonts w:hint="eastAsia" w:eastAsia="仿宋"/>
          <w:sz w:val="24"/>
          <w:lang w:val="en-US" w:eastAsia="zh-CN"/>
        </w:rPr>
        <w:t>3</w:t>
      </w:r>
      <w:r>
        <w:rPr>
          <w:rFonts w:hint="eastAsia" w:eastAsia="仿宋"/>
          <w:sz w:val="24"/>
        </w:rPr>
        <w:t>）项目实施人员一览表；</w:t>
      </w:r>
    </w:p>
    <w:p>
      <w:pPr>
        <w:pStyle w:val="2"/>
      </w:pPr>
      <w:r>
        <w:rPr>
          <w:rFonts w:eastAsia="仿宋"/>
          <w:b/>
        </w:rPr>
        <w:t>可作为</w:t>
      </w:r>
      <w:r>
        <w:rPr>
          <w:rFonts w:hint="eastAsia" w:eastAsia="仿宋"/>
          <w:b/>
        </w:rPr>
        <w:t>报价人</w:t>
      </w:r>
      <w:r>
        <w:rPr>
          <w:rFonts w:eastAsia="仿宋"/>
          <w:b/>
        </w:rPr>
        <w:t>技术评分的材料（</w:t>
      </w:r>
      <w:r>
        <w:rPr>
          <w:rFonts w:hint="eastAsia" w:eastAsia="仿宋"/>
          <w:b/>
        </w:rPr>
        <w:t>报价人</w:t>
      </w:r>
      <w:r>
        <w:rPr>
          <w:rFonts w:eastAsia="仿宋"/>
          <w:b/>
        </w:rPr>
        <w:t>可根据自身情况选择提供）：</w:t>
      </w:r>
    </w:p>
    <w:p>
      <w:pPr>
        <w:snapToGrid w:val="0"/>
        <w:spacing w:line="400" w:lineRule="exact"/>
        <w:jc w:val="left"/>
        <w:rPr>
          <w:rFonts w:eastAsia="仿宋"/>
          <w:sz w:val="24"/>
        </w:rPr>
      </w:pPr>
      <w:r>
        <w:rPr>
          <w:rFonts w:eastAsia="仿宋"/>
          <w:sz w:val="24"/>
        </w:rPr>
        <w:t>（</w:t>
      </w:r>
      <w:r>
        <w:rPr>
          <w:rFonts w:hint="eastAsia" w:eastAsia="仿宋"/>
          <w:sz w:val="24"/>
        </w:rPr>
        <w:t>4</w:t>
      </w:r>
      <w:r>
        <w:rPr>
          <w:rFonts w:eastAsia="仿宋"/>
          <w:sz w:val="24"/>
        </w:rPr>
        <w:t>）</w:t>
      </w:r>
      <w:r>
        <w:rPr>
          <w:rFonts w:hint="eastAsia" w:eastAsia="仿宋"/>
          <w:sz w:val="24"/>
        </w:rPr>
        <w:t>报价人认为需要提供的其他证明材料</w:t>
      </w:r>
    </w:p>
    <w:p>
      <w:pPr>
        <w:snapToGrid w:val="0"/>
        <w:spacing w:line="400" w:lineRule="exact"/>
        <w:jc w:val="left"/>
        <w:rPr>
          <w:rFonts w:eastAsia="仿宋"/>
          <w:b/>
          <w:sz w:val="24"/>
        </w:rPr>
      </w:pP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28"/>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19" w:name="_Toc254970558"/>
            <w:bookmarkStart w:id="20" w:name="_Toc254970699"/>
            <w:r>
              <w:rPr>
                <w:rFonts w:eastAsia="仿宋"/>
                <w:spacing w:val="20"/>
                <w:sz w:val="24"/>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559"/>
            <w:bookmarkStart w:id="22" w:name="_Toc254970700"/>
            <w:r>
              <w:rPr>
                <w:rFonts w:eastAsia="仿宋"/>
                <w:spacing w:val="20"/>
                <w:sz w:val="24"/>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outlineLvl w:val="0"/>
              <w:rPr>
                <w:rFonts w:ascii="Times New Roman" w:hAnsi="Times New Roman" w:eastAsia="仿宋"/>
                <w:spacing w:val="20"/>
                <w:kern w:val="2"/>
                <w:sz w:val="24"/>
                <w:szCs w:val="24"/>
              </w:rPr>
            </w:pPr>
            <w:bookmarkStart w:id="23" w:name="_Toc254970560"/>
            <w:bookmarkStart w:id="24" w:name="_Toc293863334"/>
            <w:bookmarkStart w:id="25" w:name="_Toc301424943"/>
            <w:bookmarkStart w:id="26" w:name="_Toc254970701"/>
            <w:bookmarkStart w:id="27" w:name="_Toc293863064"/>
            <w:bookmarkStart w:id="28" w:name="_Toc326217569"/>
            <w:r>
              <w:rPr>
                <w:rFonts w:ascii="Times New Roman" w:hAnsi="Times New Roman" w:eastAsia="仿宋"/>
                <w:spacing w:val="20"/>
                <w:kern w:val="2"/>
                <w:sz w:val="24"/>
                <w:szCs w:val="24"/>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1"/>
        <w:spacing w:line="400" w:lineRule="exact"/>
        <w:ind w:firstLine="420" w:firstLineChars="200"/>
        <w:rPr>
          <w:rFonts w:eastAsia="仿宋"/>
          <w:spacing w:val="20"/>
          <w:sz w:val="21"/>
          <w:szCs w:val="21"/>
        </w:rPr>
      </w:pPr>
      <w:r>
        <w:rPr>
          <w:rFonts w:eastAsia="仿宋"/>
          <w:sz w:val="21"/>
          <w:szCs w:val="21"/>
        </w:rPr>
        <w:t>注：</w:t>
      </w:r>
      <w:r>
        <w:rPr>
          <w:rFonts w:hint="eastAsia" w:eastAsia="仿宋"/>
          <w:sz w:val="21"/>
          <w:szCs w:val="21"/>
        </w:rPr>
        <w:t>报价人</w:t>
      </w:r>
      <w:r>
        <w:rPr>
          <w:rFonts w:eastAsia="仿宋"/>
          <w:sz w:val="21"/>
          <w:szCs w:val="21"/>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numPr>
          <w:ilvl w:val="0"/>
          <w:numId w:val="0"/>
        </w:numPr>
        <w:snapToGrid w:val="0"/>
        <w:spacing w:line="400" w:lineRule="exact"/>
        <w:jc w:val="left"/>
        <w:rPr>
          <w:rFonts w:eastAsia="仿宋"/>
          <w:b/>
          <w:sz w:val="24"/>
        </w:rPr>
      </w:pPr>
      <w:r>
        <w:rPr>
          <w:rFonts w:hint="eastAsia" w:ascii="Times New Roman" w:hAnsi="Times New Roman" w:eastAsia="仿宋" w:cs="Times New Roman"/>
          <w:b/>
          <w:sz w:val="24"/>
        </w:rPr>
        <w:t>（2）</w:t>
      </w:r>
      <w:r>
        <w:rPr>
          <w:rFonts w:hint="eastAsia" w:eastAsia="仿宋"/>
          <w:b/>
          <w:sz w:val="24"/>
        </w:rPr>
        <w:t>服务</w:t>
      </w:r>
      <w:r>
        <w:rPr>
          <w:rFonts w:eastAsia="仿宋"/>
          <w:b/>
          <w:sz w:val="24"/>
        </w:rPr>
        <w:t>方案（格式自拟）</w:t>
      </w:r>
    </w:p>
    <w:p>
      <w:pPr>
        <w:snapToGrid w:val="0"/>
        <w:spacing w:line="400" w:lineRule="exact"/>
        <w:jc w:val="left"/>
        <w:rPr>
          <w:rFonts w:eastAsia="仿宋"/>
          <w:b/>
          <w:sz w:val="24"/>
        </w:rPr>
      </w:pPr>
    </w:p>
    <w:p>
      <w:pPr>
        <w:pStyle w:val="2"/>
        <w:rPr>
          <w:rFonts w:eastAsia="仿宋"/>
          <w:b/>
        </w:rPr>
      </w:pPr>
    </w:p>
    <w:p>
      <w:pPr>
        <w:pStyle w:val="2"/>
        <w:rPr>
          <w:rFonts w:eastAsia="仿宋"/>
          <w:b/>
        </w:rPr>
      </w:pPr>
      <w:r>
        <w:rPr>
          <w:rFonts w:hint="eastAsia" w:eastAsia="仿宋"/>
          <w:b/>
        </w:rPr>
        <w:t>（</w:t>
      </w:r>
      <w:r>
        <w:rPr>
          <w:rFonts w:hint="eastAsia" w:eastAsia="仿宋"/>
          <w:b/>
          <w:lang w:val="en-US" w:eastAsia="zh-CN"/>
        </w:rPr>
        <w:t>3</w:t>
      </w:r>
      <w:r>
        <w:rPr>
          <w:rFonts w:hint="eastAsia" w:eastAsia="仿宋"/>
          <w:b/>
        </w:rPr>
        <w:t>）项目实施人员一览表</w:t>
      </w:r>
    </w:p>
    <w:p>
      <w:pPr>
        <w:spacing w:before="312" w:beforeLines="100" w:after="468" w:afterLines="150" w:line="320" w:lineRule="exact"/>
        <w:jc w:val="center"/>
        <w:outlineLvl w:val="3"/>
        <w:rPr>
          <w:rFonts w:ascii="宋体" w:hAnsi="宋体"/>
          <w:b/>
          <w:sz w:val="32"/>
          <w:szCs w:val="32"/>
        </w:rPr>
      </w:pPr>
      <w:r>
        <w:rPr>
          <w:rFonts w:hint="eastAsia" w:ascii="宋体" w:hAnsi="宋体"/>
          <w:b/>
          <w:sz w:val="32"/>
          <w:szCs w:val="32"/>
        </w:rPr>
        <w:t>项目实施人员一览表（格式）</w:t>
      </w:r>
    </w:p>
    <w:tbl>
      <w:tblPr>
        <w:tblStyle w:val="28"/>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9"/>
              <w:spacing w:before="182"/>
              <w:jc w:val="center"/>
              <w:rPr>
                <w:sz w:val="24"/>
              </w:rPr>
            </w:pPr>
            <w:r>
              <w:rPr>
                <w:sz w:val="24"/>
              </w:rPr>
              <w:t>姓名</w:t>
            </w:r>
          </w:p>
        </w:tc>
        <w:tc>
          <w:tcPr>
            <w:tcW w:w="1129" w:type="dxa"/>
            <w:vAlign w:val="center"/>
          </w:tcPr>
          <w:p>
            <w:pPr>
              <w:pStyle w:val="79"/>
              <w:spacing w:before="182"/>
              <w:jc w:val="center"/>
              <w:rPr>
                <w:sz w:val="24"/>
              </w:rPr>
            </w:pPr>
            <w:r>
              <w:rPr>
                <w:sz w:val="24"/>
              </w:rPr>
              <w:t>职务</w:t>
            </w:r>
          </w:p>
        </w:tc>
        <w:tc>
          <w:tcPr>
            <w:tcW w:w="2050" w:type="dxa"/>
            <w:vAlign w:val="center"/>
          </w:tcPr>
          <w:p>
            <w:pPr>
              <w:pStyle w:val="79"/>
              <w:spacing w:before="182"/>
              <w:jc w:val="center"/>
              <w:rPr>
                <w:sz w:val="24"/>
              </w:rPr>
            </w:pPr>
            <w:r>
              <w:rPr>
                <w:rFonts w:hint="eastAsia"/>
                <w:sz w:val="24"/>
              </w:rPr>
              <w:t>职称</w:t>
            </w:r>
            <w:r>
              <w:rPr>
                <w:rFonts w:hint="eastAsia"/>
                <w:sz w:val="24"/>
                <w:lang w:val="en-US"/>
              </w:rPr>
              <w:t>/</w:t>
            </w:r>
            <w:r>
              <w:rPr>
                <w:sz w:val="24"/>
              </w:rPr>
              <w:t>专业技术资格</w:t>
            </w:r>
          </w:p>
        </w:tc>
        <w:tc>
          <w:tcPr>
            <w:tcW w:w="1235" w:type="dxa"/>
            <w:vAlign w:val="center"/>
          </w:tcPr>
          <w:p>
            <w:pPr>
              <w:pStyle w:val="79"/>
              <w:spacing w:before="182"/>
              <w:jc w:val="center"/>
              <w:rPr>
                <w:sz w:val="24"/>
              </w:rPr>
            </w:pPr>
            <w:r>
              <w:rPr>
                <w:sz w:val="24"/>
              </w:rPr>
              <w:t>证书编号</w:t>
            </w:r>
          </w:p>
        </w:tc>
        <w:tc>
          <w:tcPr>
            <w:tcW w:w="2550" w:type="dxa"/>
            <w:vAlign w:val="center"/>
          </w:tcPr>
          <w:p>
            <w:pPr>
              <w:pStyle w:val="79"/>
              <w:spacing w:before="182"/>
              <w:jc w:val="center"/>
              <w:rPr>
                <w:sz w:val="24"/>
              </w:rPr>
            </w:pPr>
            <w:r>
              <w:rPr>
                <w:sz w:val="24"/>
              </w:rPr>
              <w:t>参加本单位工作时间</w:t>
            </w:r>
          </w:p>
        </w:tc>
        <w:tc>
          <w:tcPr>
            <w:tcW w:w="901" w:type="dxa"/>
            <w:vAlign w:val="center"/>
          </w:tcPr>
          <w:p>
            <w:pPr>
              <w:pStyle w:val="79"/>
              <w:spacing w:before="182"/>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9"/>
              <w:rPr>
                <w:rFonts w:ascii="Times New Roman"/>
                <w:sz w:val="22"/>
              </w:rPr>
            </w:pPr>
          </w:p>
        </w:tc>
        <w:tc>
          <w:tcPr>
            <w:tcW w:w="1129" w:type="dxa"/>
          </w:tcPr>
          <w:p>
            <w:pPr>
              <w:pStyle w:val="79"/>
              <w:rPr>
                <w:rFonts w:ascii="Times New Roman"/>
                <w:sz w:val="22"/>
              </w:rPr>
            </w:pPr>
          </w:p>
        </w:tc>
        <w:tc>
          <w:tcPr>
            <w:tcW w:w="2050" w:type="dxa"/>
          </w:tcPr>
          <w:p>
            <w:pPr>
              <w:pStyle w:val="79"/>
              <w:rPr>
                <w:rFonts w:ascii="Times New Roman"/>
                <w:sz w:val="22"/>
              </w:rPr>
            </w:pPr>
          </w:p>
        </w:tc>
        <w:tc>
          <w:tcPr>
            <w:tcW w:w="1235" w:type="dxa"/>
          </w:tcPr>
          <w:p>
            <w:pPr>
              <w:pStyle w:val="79"/>
              <w:rPr>
                <w:rFonts w:ascii="Times New Roman"/>
                <w:sz w:val="22"/>
              </w:rPr>
            </w:pPr>
          </w:p>
        </w:tc>
        <w:tc>
          <w:tcPr>
            <w:tcW w:w="2550" w:type="dxa"/>
          </w:tcPr>
          <w:p>
            <w:pPr>
              <w:pStyle w:val="79"/>
              <w:rPr>
                <w:rFonts w:ascii="Times New Roman"/>
                <w:sz w:val="22"/>
              </w:rPr>
            </w:pPr>
          </w:p>
        </w:tc>
        <w:tc>
          <w:tcPr>
            <w:tcW w:w="901" w:type="dxa"/>
          </w:tcPr>
          <w:p>
            <w:pPr>
              <w:pStyle w:val="79"/>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1、在填写时，如本表格不适合报价人的实际情况，可根据本表格式自行制表填写。</w:t>
      </w:r>
    </w:p>
    <w:p>
      <w:pPr>
        <w:spacing w:line="300" w:lineRule="auto"/>
        <w:ind w:firstLine="630" w:firstLineChars="300"/>
        <w:outlineLvl w:val="2"/>
        <w:rPr>
          <w:rFonts w:ascii="宋体" w:hAnsi="宋体"/>
          <w:bCs/>
          <w:szCs w:val="21"/>
        </w:rPr>
      </w:pPr>
      <w:r>
        <w:rPr>
          <w:rFonts w:ascii="宋体" w:hAnsi="宋体"/>
          <w:bCs/>
          <w:szCs w:val="21"/>
        </w:rPr>
        <w:t>2</w:t>
      </w:r>
      <w:r>
        <w:rPr>
          <w:rFonts w:hint="eastAsia" w:ascii="宋体" w:hAnsi="宋体"/>
          <w:bCs/>
          <w:szCs w:val="21"/>
        </w:rPr>
        <w:t>、</w:t>
      </w:r>
      <w:r>
        <w:rPr>
          <w:rFonts w:hint="eastAsia" w:ascii="宋体" w:hAnsi="宋体"/>
          <w:szCs w:val="21"/>
        </w:rPr>
        <w:t>提供上述人员相关证书等证明材料，并加盖供应商公章。</w:t>
      </w:r>
    </w:p>
    <w:p>
      <w:pPr>
        <w:spacing w:line="300" w:lineRule="auto"/>
        <w:ind w:firstLine="630" w:firstLineChars="300"/>
        <w:rPr>
          <w:rFonts w:ascii="宋体" w:hAnsi="宋体"/>
          <w:szCs w:val="21"/>
        </w:rPr>
      </w:pPr>
      <w:r>
        <w:rPr>
          <w:rFonts w:hint="eastAsia" w:ascii="宋体" w:hAnsi="宋体"/>
          <w:bCs/>
          <w:szCs w:val="21"/>
        </w:rPr>
        <w:t>3、</w:t>
      </w:r>
      <w:r>
        <w:rPr>
          <w:rFonts w:hint="eastAsia" w:ascii="宋体" w:hAnsi="宋体"/>
          <w:szCs w:val="21"/>
        </w:rPr>
        <w:t>此清单由多页构成的，应逐页加盖报价人法人公章或由法定代表人（负责人）（或委托代理人）签字。</w:t>
      </w:r>
    </w:p>
    <w:p>
      <w:pPr>
        <w:adjustRightInd w:val="0"/>
        <w:snapToGrid w:val="0"/>
        <w:spacing w:line="300" w:lineRule="auto"/>
        <w:rPr>
          <w:rFonts w:ascii="宋体" w:hAnsi="宋体"/>
          <w:szCs w:val="21"/>
        </w:rPr>
      </w:pPr>
    </w:p>
    <w:p>
      <w:pPr>
        <w:pStyle w:val="2"/>
      </w:pPr>
    </w:p>
    <w:p>
      <w:pPr>
        <w:pStyle w:val="2"/>
      </w:pPr>
    </w:p>
    <w:p>
      <w:pPr>
        <w:pStyle w:val="15"/>
        <w:ind w:firstLine="5200" w:firstLineChars="2600"/>
      </w:pPr>
      <w:r>
        <w:rPr>
          <w:rFonts w:hint="eastAsia"/>
        </w:rPr>
        <w:t xml:space="preserve">报价人(公章)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outlineLvl w:val="3"/>
        <w:rPr>
          <w:rFonts w:eastAsia="仿宋"/>
          <w:b/>
          <w:sz w:val="24"/>
        </w:rPr>
      </w:pPr>
      <w:r>
        <w:rPr>
          <w:rFonts w:eastAsia="仿宋"/>
          <w:b/>
          <w:sz w:val="24"/>
        </w:rPr>
        <w:t>（</w:t>
      </w:r>
      <w:r>
        <w:rPr>
          <w:rFonts w:hint="eastAsia" w:eastAsia="仿宋"/>
          <w:b/>
          <w:sz w:val="24"/>
          <w:lang w:val="en-US" w:eastAsia="zh-CN"/>
        </w:rPr>
        <w:t>4</w:t>
      </w:r>
      <w:r>
        <w:rPr>
          <w:rFonts w:eastAsia="仿宋"/>
          <w:b/>
          <w:sz w:val="24"/>
        </w:rPr>
        <w:t>）</w:t>
      </w:r>
      <w:r>
        <w:rPr>
          <w:rFonts w:hint="eastAsia" w:eastAsia="仿宋"/>
          <w:b/>
          <w:sz w:val="24"/>
        </w:rPr>
        <w:t>报价人认为需要提供的其他证明材料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156" w:afterLines="50"/>
        <w:jc w:val="left"/>
        <w:outlineLvl w:val="1"/>
        <w:rPr>
          <w:rFonts w:eastAsia="仿宋"/>
          <w:b/>
          <w:sz w:val="24"/>
        </w:rPr>
      </w:pPr>
      <w:r>
        <w:rPr>
          <w:rFonts w:eastAsia="仿宋"/>
          <w:b/>
          <w:bCs/>
          <w:sz w:val="24"/>
        </w:rPr>
        <w:br w:type="page"/>
      </w:r>
      <w:r>
        <w:rPr>
          <w:rFonts w:eastAsia="仿宋"/>
          <w:b/>
          <w:bCs/>
          <w:sz w:val="24"/>
        </w:rPr>
        <w:t>四、报价文件格式</w:t>
      </w:r>
    </w:p>
    <w:p>
      <w:pPr>
        <w:widowControl/>
        <w:jc w:val="left"/>
        <w:outlineLvl w:val="2"/>
        <w:rPr>
          <w:rFonts w:eastAsia="仿宋"/>
          <w:b/>
          <w:sz w:val="24"/>
        </w:rPr>
      </w:pPr>
      <w:r>
        <w:rPr>
          <w:rFonts w:eastAsia="仿宋"/>
          <w:b/>
          <w:sz w:val="24"/>
        </w:rPr>
        <w:t>1.报价文件内封面格式（格式可自拟）：</w:t>
      </w:r>
    </w:p>
    <w:p>
      <w:pPr>
        <w:snapToGrid w:val="0"/>
        <w:spacing w:before="156"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outlineLvl w:val="2"/>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rPr>
        <w:t>广西大数据分析公共服务平台、广西融合视频会议系统和广西惠企惠民政策兑现平台第三方软件测评服务采购项目的采购</w:t>
      </w:r>
      <w:r>
        <w:rPr>
          <w:rFonts w:eastAsia="仿宋"/>
          <w:sz w:val="24"/>
        </w:rPr>
        <w:t>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名称）提交响应文件正本一份、副本</w:t>
      </w:r>
      <w:r>
        <w:rPr>
          <w:rFonts w:hint="eastAsia" w:eastAsia="仿宋"/>
          <w:sz w:val="24"/>
        </w:rPr>
        <w:t>贰</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报价人</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报价人</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报价人</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报价人</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outlineLvl w:val="2"/>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报价人</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报价人</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银行帐号：</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outlineLvl w:val="2"/>
        <w:rPr>
          <w:rFonts w:eastAsia="仿宋"/>
          <w:b/>
          <w:sz w:val="24"/>
        </w:rPr>
      </w:pPr>
      <w:r>
        <w:rPr>
          <w:rFonts w:eastAsia="仿宋"/>
          <w:b/>
          <w:sz w:val="24"/>
        </w:rPr>
        <w:br w:type="page"/>
      </w:r>
      <w:r>
        <w:rPr>
          <w:rFonts w:eastAsia="仿宋"/>
          <w:b/>
          <w:sz w:val="24"/>
        </w:rPr>
        <w:t>3.报价表格式：</w:t>
      </w:r>
    </w:p>
    <w:p>
      <w:pPr>
        <w:pStyle w:val="15"/>
        <w:snapToGrid w:val="0"/>
        <w:spacing w:line="400" w:lineRule="exact"/>
        <w:jc w:val="center"/>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eastAsia="仿宋"/>
          <w:sz w:val="24"/>
        </w:rPr>
      </w:pPr>
      <w:r>
        <w:rPr>
          <w:rFonts w:eastAsia="仿宋"/>
          <w:sz w:val="24"/>
        </w:rPr>
        <w:t xml:space="preserve">                                </w:t>
      </w:r>
    </w:p>
    <w:tbl>
      <w:tblPr>
        <w:tblStyle w:val="28"/>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rPr>
            </w:pPr>
            <w:r>
              <w:rPr>
                <w:rFonts w:eastAsia="仿宋"/>
                <w:b/>
                <w:sz w:val="24"/>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2</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3</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4</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5</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6</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7</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8</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rPr>
            </w:pPr>
            <w:r>
              <w:rPr>
                <w:rFonts w:eastAsia="仿宋"/>
                <w:sz w:val="24"/>
              </w:rPr>
              <w:t>合计金额大写：</w:t>
            </w:r>
            <w:r>
              <w:rPr>
                <w:rFonts w:eastAsia="仿宋"/>
                <w:sz w:val="24"/>
                <w:u w:val="single"/>
              </w:rPr>
              <w:t xml:space="preserve">                                </w:t>
            </w:r>
            <w:r>
              <w:rPr>
                <w:rFonts w:eastAsia="仿宋"/>
                <w:sz w:val="24"/>
              </w:rPr>
              <w:t>￥</w:t>
            </w:r>
            <w:r>
              <w:rPr>
                <w:rFonts w:eastAsia="仿宋"/>
                <w:sz w:val="24"/>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rPr>
            </w:pPr>
            <w:r>
              <w:rPr>
                <w:rFonts w:eastAsia="仿宋"/>
                <w:sz w:val="24"/>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rPr>
            </w:pPr>
          </w:p>
        </w:tc>
      </w:tr>
    </w:tbl>
    <w:p>
      <w:pPr>
        <w:tabs>
          <w:tab w:val="left" w:pos="1418"/>
        </w:tabs>
        <w:snapToGrid w:val="0"/>
        <w:spacing w:line="400" w:lineRule="exact"/>
        <w:jc w:val="center"/>
        <w:rPr>
          <w:rFonts w:eastAsia="仿宋"/>
          <w:spacing w:val="20"/>
          <w:sz w:val="24"/>
          <w:u w:val="single"/>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rPr>
        <w:t>报价人</w:t>
      </w:r>
      <w:r>
        <w:rPr>
          <w:rFonts w:eastAsia="仿宋"/>
          <w:sz w:val="24"/>
        </w:rPr>
        <w:t>应根据所提供的货物（服务）如实填写报价表的各项内容。</w:t>
      </w:r>
    </w:p>
    <w:p>
      <w:pPr>
        <w:numPr>
          <w:ilvl w:val="0"/>
          <w:numId w:val="8"/>
        </w:numPr>
        <w:snapToGrid w:val="0"/>
        <w:spacing w:line="400" w:lineRule="exact"/>
        <w:ind w:firstLine="465"/>
        <w:outlineLvl w:val="2"/>
        <w:rPr>
          <w:rFonts w:eastAsia="仿宋"/>
          <w:sz w:val="24"/>
        </w:rPr>
      </w:pPr>
      <w:r>
        <w:rPr>
          <w:rFonts w:eastAsia="仿宋"/>
          <w:sz w:val="24"/>
        </w:rPr>
        <w:t>报价表由多页构成时，需逐页加盖</w:t>
      </w:r>
      <w:r>
        <w:rPr>
          <w:rFonts w:hint="eastAsia" w:eastAsia="仿宋"/>
          <w:sz w:val="24"/>
        </w:rPr>
        <w:t>报价人</w:t>
      </w:r>
      <w:r>
        <w:rPr>
          <w:rFonts w:eastAsia="仿宋"/>
          <w:sz w:val="24"/>
        </w:rPr>
        <w:t>公章。</w:t>
      </w:r>
    </w:p>
    <w:p>
      <w:pPr>
        <w:spacing w:line="39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rPr>
      </w:pPr>
    </w:p>
    <w:p>
      <w:pPr>
        <w:pStyle w:val="15"/>
        <w:outlineLvl w:val="2"/>
        <w:rPr>
          <w:rFonts w:hAnsi="宋体" w:cs="宋体"/>
          <w:b/>
          <w:sz w:val="24"/>
        </w:rPr>
      </w:pPr>
      <w:r>
        <w:rPr>
          <w:rFonts w:eastAsia="仿宋"/>
          <w:b/>
          <w:sz w:val="24"/>
        </w:rPr>
        <w:t>4.</w:t>
      </w:r>
      <w:r>
        <w:rPr>
          <w:rFonts w:hint="eastAsia" w:eastAsia="仿宋"/>
          <w:b/>
          <w:sz w:val="24"/>
        </w:rPr>
        <w:t>报价人</w:t>
      </w:r>
      <w:r>
        <w:rPr>
          <w:rFonts w:eastAsia="仿宋"/>
          <w:b/>
          <w:sz w:val="24"/>
        </w:rPr>
        <w:t>针对报价需要说明的其他文件和说明（格式自拟）</w:t>
      </w:r>
      <w:r>
        <w:rPr>
          <w:rFonts w:hint="eastAsia" w:hAnsi="宋体" w:cs="宋体"/>
          <w:b/>
          <w:sz w:val="24"/>
        </w:rPr>
        <w:t xml:space="preserve"> </w:t>
      </w:r>
    </w:p>
    <w:p>
      <w:pPr>
        <w:pStyle w:val="15"/>
        <w:spacing w:line="288" w:lineRule="auto"/>
        <w:jc w:val="left"/>
        <w:rPr>
          <w:rFonts w:hAnsi="宋体"/>
        </w:rPr>
      </w:pPr>
    </w:p>
    <w:sectPr>
      <w:footerReference r:id="rId14"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8C5925-E9B0-4DA1-90C4-A49BDF8A7DB8}"/>
  </w:font>
  <w:font w:name="Arial">
    <w:panose1 w:val="020B0604020202020204"/>
    <w:charset w:val="01"/>
    <w:family w:val="swiss"/>
    <w:pitch w:val="default"/>
    <w:sig w:usb0="E0002EFF" w:usb1="C000785B" w:usb2="00000009" w:usb3="00000000" w:csb0="400001FF" w:csb1="FFFF0000"/>
    <w:embedRegular r:id="rId2" w:fontKey="{921C405D-32BB-41BF-829C-F35D1FF2439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C4B8C2F-7CBF-4725-B96A-37052B066E1C}"/>
  </w:font>
  <w:font w:name="Symbol">
    <w:panose1 w:val="05050102010706020507"/>
    <w:charset w:val="02"/>
    <w:family w:val="roman"/>
    <w:pitch w:val="default"/>
    <w:sig w:usb0="00000000" w:usb1="00000000" w:usb2="00000000" w:usb3="00000000" w:csb0="80000000" w:csb1="00000000"/>
    <w:embedRegular r:id="rId4" w:fontKey="{3BF7F9DA-8261-46A1-87AE-E3E15050A742}"/>
  </w:font>
  <w:font w:name="Calibri">
    <w:panose1 w:val="020F0502020204030204"/>
    <w:charset w:val="00"/>
    <w:family w:val="swiss"/>
    <w:pitch w:val="default"/>
    <w:sig w:usb0="E4002EFF" w:usb1="C000247B" w:usb2="00000009" w:usb3="00000000" w:csb0="200001FF" w:csb1="00000000"/>
    <w:embedRegular r:id="rId5" w:fontKey="{8AC2BDD4-6537-4466-8E6E-7194631A3BC3}"/>
  </w:font>
  <w:font w:name="仿宋_GB2312">
    <w:panose1 w:val="02010609030101010101"/>
    <w:charset w:val="86"/>
    <w:family w:val="modern"/>
    <w:pitch w:val="default"/>
    <w:sig w:usb0="00000001" w:usb1="080E0000" w:usb2="00000000" w:usb3="00000000" w:csb0="00040000" w:csb1="00000000"/>
    <w:embedRegular r:id="rId6" w:fontKey="{B894A87B-9857-47BD-A0DC-0ACAFC4CBCD2}"/>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29F28A1E-3648-4084-B33F-39C14F150D07}"/>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C5840AFE-39B4-40DE-A533-FFBA8936F3D9}"/>
  </w:font>
  <w:font w:name="楷体">
    <w:panose1 w:val="02010609060101010101"/>
    <w:charset w:val="86"/>
    <w:family w:val="modern"/>
    <w:pitch w:val="default"/>
    <w:sig w:usb0="800002BF" w:usb1="38CF7CFA" w:usb2="00000016" w:usb3="00000000" w:csb0="00040001" w:csb1="00000000"/>
    <w:embedRegular r:id="rId9" w:fontKey="{68E83149-555F-4FE8-956C-365805C2F4E7}"/>
  </w:font>
  <w:font w:name="微软雅黑">
    <w:panose1 w:val="020B0503020204020204"/>
    <w:charset w:val="86"/>
    <w:family w:val="swiss"/>
    <w:pitch w:val="default"/>
    <w:sig w:usb0="80000287" w:usb1="2ACF3C50" w:usb2="00000016" w:usb3="00000000" w:csb0="0004001F" w:csb1="00000000"/>
    <w:embedRegular r:id="rId10" w:fontKey="{D55762FD-F31E-42A6-9DA1-E101418D2CF9}"/>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7785" cy="131445"/>
              <wp:effectExtent l="0" t="0" r="0" b="0"/>
              <wp:wrapNone/>
              <wp:docPr id="15" name="4098"/>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9"/>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4098" o:spid="_x0000_s1026" o:spt="202" type="#_x0000_t202" style="position:absolute;left:0pt;margin-top:0pt;height:10.35pt;width:4.55pt;mso-position-horizontal:center;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DnCr3d+AEAAPsDAAAOAAAAAAAAAAEAIAAAAB8BAABkcnMvZTJvRG9jLnhtbFBLBQYA&#10;AAAABgAGAFkBAACJ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14" name="409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4099"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AkQ9Eb+AEAAPsDAAAOAAAAAAAAAAEAIAAAAB8BAABkcnMvZTJvRG9jLnhtbFBLBQYA&#10;AAAABgAGAFkBAACJ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5408" behindDoc="0" locked="0" layoutInCell="1" allowOverlap="1">
              <wp:simplePos x="0" y="0"/>
              <wp:positionH relativeFrom="margin">
                <wp:posOffset>2833370</wp:posOffset>
              </wp:positionH>
              <wp:positionV relativeFrom="paragraph">
                <wp:posOffset>37465</wp:posOffset>
              </wp:positionV>
              <wp:extent cx="255270" cy="93980"/>
              <wp:effectExtent l="4445" t="0" r="0" b="1905"/>
              <wp:wrapNone/>
              <wp:docPr id="13" name="4101"/>
              <wp:cNvGraphicFramePr/>
              <a:graphic xmlns:a="http://schemas.openxmlformats.org/drawingml/2006/main">
                <a:graphicData uri="http://schemas.microsoft.com/office/word/2010/wordprocessingShape">
                  <wps:wsp>
                    <wps:cNvSpPr txBox="1">
                      <a:spLocks noChangeArrowheads="1"/>
                    </wps:cNvSpPr>
                    <wps:spPr bwMode="auto">
                      <a:xfrm>
                        <a:off x="0" y="0"/>
                        <a:ext cx="255270" cy="93980"/>
                      </a:xfrm>
                      <a:prstGeom prst="rect">
                        <a:avLst/>
                      </a:prstGeom>
                      <a:noFill/>
                      <a:ln>
                        <a:noFill/>
                      </a:ln>
                    </wps:spPr>
                    <wps:txbx>
                      <w:txbxContent>
                        <w:p>
                          <w:pPr>
                            <w:pStyle w:val="19"/>
                            <w:rPr>
                              <w:rStyle w:val="32"/>
                            </w:rPr>
                          </w:pPr>
                        </w:p>
                      </w:txbxContent>
                    </wps:txbx>
                    <wps:bodyPr rot="0" vert="horz" wrap="square" lIns="0" tIns="0" rIns="0" bIns="0" anchor="t" anchorCtr="0" upright="1">
                      <a:noAutofit/>
                    </wps:bodyPr>
                  </wps:wsp>
                </a:graphicData>
              </a:graphic>
            </wp:anchor>
          </w:drawing>
        </mc:Choice>
        <mc:Fallback>
          <w:pict>
            <v:shape id="4101" o:spid="_x0000_s1026" o:spt="202" type="#_x0000_t202" style="position:absolute;left:0pt;margin-left:223.1pt;margin-top:2.95pt;height:7.4pt;width:20.1pt;mso-position-horizontal-relative:margin;z-index:251665408;mso-width-relative:page;mso-height-relative:page;" filled="f" stroked="f" coordsize="21600,21600" o:gfxdata="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PdEnnYAAAACAEAAA8AAAAAAAAAAQAgAAAAIgAAAGRycy9kb3ducmV2Lnht&#10;bFBLAQIUABQAAAAIAIdO4kDjHvBK+QEAAP0DAAAOAAAAAAAAAAEAIAAAACcBAABkcnMvZTJvRG9j&#10;LnhtbFBLBQYAAAAABgAGAFkBAACSBQAAAAA=&#10;">
              <v:fill on="f" focussize="0,0"/>
              <v:stroke on="f"/>
              <v:imagedata o:title=""/>
              <o:lock v:ext="edit" aspectratio="f"/>
              <v:textbox inset="0mm,0mm,0mm,0mm">
                <w:txbxContent>
                  <w:p>
                    <w:pPr>
                      <w:pStyle w:val="19"/>
                      <w:rPr>
                        <w:rStyle w:val="32"/>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410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410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l5&#10;uc8AAAAFAQAADwAAAAAAAAABACAAAAAiAAAAZHJzL2Rvd25yZXYueG1sUEsBAhQAFAAAAAgAh07i&#10;QEt1BYPyAQAA/gMAAA4AAAAAAAAAAQAgAAAAHgEAAGRycy9lMm9Eb2MueG1sUEsFBgAAAAAGAAYA&#10;WQEAAII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end"/>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1" name="410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9"/>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4102"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CnZz8w+AEAAPsDAAAOAAAAAAAAAAEAIAAAAB8BAABkcnMvZTJvRG9jLnhtbFBLBQYA&#10;AAAABgAGAFkBAACJ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2926080</wp:posOffset>
              </wp:positionH>
              <wp:positionV relativeFrom="paragraph">
                <wp:posOffset>19050</wp:posOffset>
              </wp:positionV>
              <wp:extent cx="114935" cy="153035"/>
              <wp:effectExtent l="1905" t="0" r="0" b="0"/>
              <wp:wrapNone/>
              <wp:docPr id="10" name="4103"/>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4103" o:spid="_x0000_s1026" o:spt="202" type="#_x0000_t202" style="position:absolute;left:0pt;margin-left:230.4pt;margin-top:1.5pt;height:12.05pt;width:9.05pt;mso-position-horizontal-relative:margin;mso-wrap-style:none;z-index:251660288;mso-width-relative:page;mso-height-relative:page;" filled="f" stroked="f" coordsize="21600,21600" o:gfxdata="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c+DUbVAAAACAEAAA8AAAAAAAAAAQAgAAAAIgAAAGRycy9kb3ducmV2LnhtbFBLAQIU&#10;ABQAAAAIAIdO4kAY7S1l9gEAAPwDAAAOAAAAAAAAAAEAIAAAACQBAABkcnMvZTJvRG9jLnhtbFBL&#10;BQYAAAAABgAGAFkBAACMBQ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9" name="4104"/>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4104"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QVPmtAAAAADAQAADwAAAAAAAAABACAAAAAiAAAAZHJzL2Rvd25yZXYueG1sUEsBAhQAFAAA&#10;AAgAh07iQNKd3dz3AQAA+wMAAA4AAAAAAAAAAQAgAAAAHwEAAGRycy9lMm9Eb2MueG1sUEsFBgAA&#10;AAAGAAYAWQEAAIg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262890"/>
              <wp:effectExtent l="0" t="0" r="0" b="0"/>
              <wp:wrapNone/>
              <wp:docPr id="8" name="4105"/>
              <wp:cNvGraphicFramePr/>
              <a:graphic xmlns:a="http://schemas.openxmlformats.org/drawingml/2006/main">
                <a:graphicData uri="http://schemas.microsoft.com/office/word/2010/wordprocessingShape">
                  <wps:wsp>
                    <wps:cNvSpPr txBox="1">
                      <a:spLocks noChangeArrowheads="1"/>
                    </wps:cNvSpPr>
                    <wps:spPr bwMode="auto">
                      <a:xfrm>
                        <a:off x="0" y="0"/>
                        <a:ext cx="114935" cy="262890"/>
                      </a:xfrm>
                      <a:prstGeom prst="rect">
                        <a:avLst/>
                      </a:prstGeom>
                      <a:noFill/>
                      <a:ln>
                        <a:noFill/>
                      </a:ln>
                    </wps:spPr>
                    <wps:txbx>
                      <w:txbxContent>
                        <w:p>
                          <w:pPr>
                            <w:pStyle w:val="19"/>
                          </w:pPr>
                          <w:r>
                            <w:rPr>
                              <w:rFonts w:hint="eastAsia"/>
                            </w:rPr>
                            <w:t>3</w:t>
                          </w:r>
                        </w:p>
                        <w:p>
                          <w:pPr>
                            <w:pStyle w:val="19"/>
                          </w:pPr>
                        </w:p>
                      </w:txbxContent>
                    </wps:txbx>
                    <wps:bodyPr rot="0" vert="horz" wrap="none" lIns="0" tIns="0" rIns="0" bIns="0" anchor="t" anchorCtr="0" upright="1">
                      <a:spAutoFit/>
                    </wps:bodyPr>
                  </wps:wsp>
                </a:graphicData>
              </a:graphic>
            </wp:anchor>
          </w:drawing>
        </mc:Choice>
        <mc:Fallback>
          <w:pict>
            <v:shape id="4105" o:spid="_x0000_s1026" o:spt="202" type="#_x0000_t202" style="position:absolute;left:0pt;margin-top:0pt;height:20.7pt;width:9.05pt;mso-position-horizontal:center;mso-position-horizontal-relative:margin;mso-wrap-style:none;z-index:251662336;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pdcnnQAAAAAwEAAA8AAAAAAAAAAQAgAAAAIgAAAGRycy9kb3ducmV2LnhtbFBLAQIUABQA&#10;AAAIAIdO4kBz7zXo+AEAAPsDAAAOAAAAAAAAAAEAIAAAAB8BAABkcnMvZTJvRG9jLnhtbFBLBQYA&#10;AAAABgAGAFkBAACJBQAAAAA=&#10;">
              <v:fill on="f" focussize="0,0"/>
              <v:stroke on="f"/>
              <v:imagedata o:title=""/>
              <o:lock v:ext="edit" aspectratio="f"/>
              <v:textbox inset="0mm,0mm,0mm,0mm" style="mso-fit-shape-to-text:t;">
                <w:txbxContent>
                  <w:p>
                    <w:pPr>
                      <w:pStyle w:val="19"/>
                    </w:pPr>
                    <w:r>
                      <w:rPr>
                        <w:rFonts w:hint="eastAsia"/>
                      </w:rPr>
                      <w:t>3</w:t>
                    </w:r>
                  </w:p>
                  <w:p>
                    <w:pPr>
                      <w:pStyle w:val="19"/>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7" name="410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9"/>
                          </w:pPr>
                          <w:r>
                            <w:rPr>
                              <w:rFonts w:hint="eastAsia"/>
                            </w:rPr>
                            <w:t>3</w:t>
                          </w:r>
                        </w:p>
                      </w:txbxContent>
                    </wps:txbx>
                    <wps:bodyPr rot="0" vert="horz" wrap="none" lIns="0" tIns="0" rIns="0" bIns="0" anchor="t" anchorCtr="0" upright="1">
                      <a:spAutoFit/>
                    </wps:bodyPr>
                  </wps:wsp>
                </a:graphicData>
              </a:graphic>
            </wp:anchor>
          </w:drawing>
        </mc:Choice>
        <mc:Fallback>
          <w:pict>
            <v:shape id="410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AWivjj+AEAAPoDAAAOAAAAAAAAAAEAIAAAAB8BAABkcnMvZTJvRG9jLnhtbFBLBQYA&#10;AAAABgAGAFkBAACJBQAAAAA=&#10;">
              <v:fill on="f" focussize="0,0"/>
              <v:stroke on="f"/>
              <v:imagedata o:title=""/>
              <o:lock v:ext="edit" aspectratio="f"/>
              <v:textbox inset="0mm,0mm,0mm,0mm" style="mso-fit-shape-to-text:t;">
                <w:txbxContent>
                  <w:p>
                    <w:pPr>
                      <w:pStyle w:val="19"/>
                    </w:pPr>
                    <w:r>
                      <w:rPr>
                        <w:rFonts w:hint="eastAsia"/>
                      </w:rPr>
                      <w:t>3</w:t>
                    </w:r>
                  </w:p>
                </w:txbxContent>
              </v:textbox>
            </v:shape>
          </w:pict>
        </mc:Fallback>
      </mc:AlternateContent>
    </w:r>
  </w:p>
  <w:p>
    <w:pPr>
      <w:pStyle w:val="19"/>
      <w:tabs>
        <w:tab w:val="clear" w:pos="4153"/>
      </w:tabs>
    </w:pPr>
  </w:p>
  <w:p>
    <w:pPr>
      <w:pStyle w:val="19"/>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8480" behindDoc="0" locked="0" layoutInCell="1" allowOverlap="1">
              <wp:simplePos x="0" y="0"/>
              <wp:positionH relativeFrom="margin">
                <wp:posOffset>2833370</wp:posOffset>
              </wp:positionH>
              <wp:positionV relativeFrom="paragraph">
                <wp:posOffset>37465</wp:posOffset>
              </wp:positionV>
              <wp:extent cx="255270" cy="93980"/>
              <wp:effectExtent l="4445" t="0" r="0" b="1905"/>
              <wp:wrapNone/>
              <wp:docPr id="6"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55270" cy="93980"/>
                      </a:xfrm>
                      <a:prstGeom prst="rect">
                        <a:avLst/>
                      </a:prstGeom>
                      <a:noFill/>
                      <a:ln>
                        <a:noFill/>
                      </a:ln>
                    </wps:spPr>
                    <wps:txbx>
                      <w:txbxContent>
                        <w:p>
                          <w:pPr>
                            <w:pStyle w:val="19"/>
                            <w:rPr>
                              <w:rStyle w:val="32"/>
                            </w:rPr>
                          </w:pPr>
                          <w:r>
                            <w:rPr>
                              <w:rFonts w:hint="eastAsia"/>
                            </w:rPr>
                            <w:t>4</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223.1pt;margin-top:2.95pt;height:7.4pt;width:20.1pt;mso-position-horizontal-relative:margin;z-index:251668480;mso-width-relative:page;mso-height-relative:page;" filled="f" stroked="f" coordsize="21600,21600" o:gfxdata="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3RJ52AAAAAgBAAAPAAAAAAAAAAEAIAAAACIAAABkcnMvZG93bnJl&#10;di54bWxQSwECFAAUAAAACACHTuJABeGqOP0BAAADBAAADgAAAAAAAAABACAAAAAnAQAAZHJzL2Uy&#10;b0RvYy54bWxQSwUGAAAAAAYABgBZAQAAlgUAAAAA&#10;">
              <v:fill on="f" focussize="0,0"/>
              <v:stroke on="f"/>
              <v:imagedata o:title=""/>
              <o:lock v:ext="edit" aspectratio="f"/>
              <v:textbox inset="0mm,0mm,0mm,0mm">
                <w:txbxContent>
                  <w:p>
                    <w:pPr>
                      <w:pStyle w:val="19"/>
                      <w:rPr>
                        <w:rStyle w:val="32"/>
                      </w:rPr>
                    </w:pPr>
                    <w:r>
                      <w:rPr>
                        <w:rFonts w:hint="eastAsia"/>
                      </w:rPr>
                      <w:t>4</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8"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OJzYuP1AQAABAQAAA4AAAAAAAAAAQAgAAAAHgEAAGRycy9lMm9Eb2MueG1sUEsFBgAAAAAG&#10;AAYAWQEAAIU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Text Box 1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9"/>
                          </w:pPr>
                          <w:r>
                            <w:fldChar w:fldCharType="begin"/>
                          </w:r>
                          <w:r>
                            <w:instrText xml:space="preserve"> PAGE  \* MERGEFORMAT </w:instrText>
                          </w:r>
                          <w:r>
                            <w:fldChar w:fldCharType="separate"/>
                          </w:r>
                          <w:r>
                            <w:t>4</w:t>
                          </w:r>
                          <w:r>
                            <w:fldChar w:fldCharType="end"/>
                          </w:r>
                        </w:p>
                      </w:txbxContent>
                    </wps:txbx>
                    <wps:bodyPr rot="0" vert="horz" wrap="none" lIns="0" tIns="0" rIns="0" bIns="0" anchor="t" anchorCtr="0" upright="1">
                      <a:spAutoFit/>
                    </wps:bodyPr>
                  </wps:wsp>
                </a:graphicData>
              </a:graphic>
            </wp:anchor>
          </w:drawing>
        </mc:Choice>
        <mc:Fallback>
          <w:pict>
            <v:shape id="Text Box 19" o:spid="_x0000_s1026" o:spt="202" type="#_x0000_t202" style="position:absolute;left:0pt;margin-top:0pt;height:10.35pt;width:4.55pt;mso-position-horizontal:center;mso-position-horizontal-relative:margin;mso-wrap-style:none;z-index:25167155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L3UTQAAAAAgEAAA8AAAAAAAAAAQAgAAAAIgAAAGRycy9kb3ducmV2LnhtbFBLAQIU&#10;ABQAAAAIAIdO4kAk9+5++wEAAAEEAAAOAAAAAAAAAAEAIAAAAB8BAABkcnMvZTJvRG9jLnhtbFBL&#10;BQYAAAAABgAGAFkBAACM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2926080</wp:posOffset>
              </wp:positionH>
              <wp:positionV relativeFrom="paragraph">
                <wp:posOffset>19050</wp:posOffset>
              </wp:positionV>
              <wp:extent cx="114935" cy="153035"/>
              <wp:effectExtent l="1905" t="0" r="0" b="0"/>
              <wp:wrapNone/>
              <wp:docPr id="3"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Text Box 20" o:spid="_x0000_s1026" o:spt="202" type="#_x0000_t202" style="position:absolute;left:0pt;margin-left:230.4pt;margin-top:1.5pt;height:12.05pt;width:9.05pt;mso-position-horizontal-relative:margin;mso-wrap-style:none;z-index:251672576;mso-width-relative:page;mso-height-relative:page;" filled="f" stroked="f" coordsize="21600,21600" o:gfxdata="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c+DUbVAAAACAEAAA8AAAAAAAAAAQAgAAAAIgAAAGRycy9kb3ducmV2LnhtbFBL&#10;AQIUABQAAAAIAIdO4kAxnaP3+QEAAAIEAAAOAAAAAAAAAAEAIAAAACQBAABkcnMvZTJvRG9jLnht&#10;bFBLBQYAAAAABgAGAFkBAACPBQAAAAA=&#10;">
              <v:fill on="f" focussize="0,0"/>
              <v:stroke on="f"/>
              <v:imagedata o:title=""/>
              <o:lock v:ext="edit" aspectratio="f"/>
              <v:textbox inset="0mm,0mm,0mm,0mm" style="mso-fit-shape-to-text:t;">
                <w:txbxContent>
                  <w:p/>
                </w:txbxContent>
              </v:textbox>
            </v:shape>
          </w:pict>
        </mc:Fallback>
      </mc:AlternateContent>
    </w:r>
  </w:p>
  <w:p>
    <w:pPr>
      <w:pStyle w:val="19"/>
      <w:tabs>
        <w:tab w:val="clear" w:pos="4153"/>
      </w:tabs>
    </w:pPr>
  </w:p>
  <w:p>
    <w:pPr>
      <w:pStyle w:val="19"/>
      <w:tabs>
        <w:tab w:val="clear" w:pos="415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410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9"/>
                          </w:pPr>
                          <w:r>
                            <w:fldChar w:fldCharType="begin"/>
                          </w:r>
                          <w:r>
                            <w:instrText xml:space="preserve"> PAGE  \* MERGEFORMAT </w:instrText>
                          </w:r>
                          <w:r>
                            <w:fldChar w:fldCharType="separate"/>
                          </w:r>
                          <w:r>
                            <w:t>14</w:t>
                          </w:r>
                          <w:r>
                            <w:fldChar w:fldCharType="end"/>
                          </w:r>
                        </w:p>
                      </w:txbxContent>
                    </wps:txbx>
                    <wps:bodyPr rot="0" vert="horz" wrap="none" lIns="0" tIns="0" rIns="0" bIns="0" anchor="t" anchorCtr="0" upright="1">
                      <a:spAutoFit/>
                    </wps:bodyPr>
                  </wps:wsp>
                </a:graphicData>
              </a:graphic>
            </wp:anchor>
          </w:drawing>
        </mc:Choice>
        <mc:Fallback>
          <w:pict>
            <v:shape id="4109" o:spid="_x0000_s1026" o:spt="202" type="#_x0000_t202" style="position:absolute;left:0pt;margin-top:0pt;height:10.35pt;width:4.55pt;mso-position-horizontal:center;mso-position-horizontal-relative:margin;mso-wrap-style:none;z-index:25166745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BDJPQL+AEAAPoDAAAOAAAAAAAAAAEAIAAAAB8BAABkcnMvZTJvRG9jLnhtbFBLBQYA&#10;AAAABgAGAFkBAACJ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14</w:t>
                    </w:r>
                    <w:r>
                      <w:fldChar w:fldCharType="end"/>
                    </w:r>
                  </w:p>
                </w:txbxContent>
              </v:textbox>
            </v:shape>
          </w:pict>
        </mc:Fallback>
      </mc:AlternateContent>
    </w:r>
  </w:p>
  <w:p>
    <w:pPr>
      <w:pStyle w:val="1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411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9"/>
                          </w:pPr>
                          <w:r>
                            <w:fldChar w:fldCharType="begin"/>
                          </w:r>
                          <w:r>
                            <w:instrText xml:space="preserve"> PAGE  \* MERGEFORMAT </w:instrText>
                          </w:r>
                          <w:r>
                            <w:fldChar w:fldCharType="separate"/>
                          </w:r>
                          <w:r>
                            <w:t>34</w:t>
                          </w:r>
                          <w:r>
                            <w:fldChar w:fldCharType="end"/>
                          </w:r>
                        </w:p>
                      </w:txbxContent>
                    </wps:txbx>
                    <wps:bodyPr rot="0" vert="horz" wrap="none" lIns="0" tIns="0" rIns="0" bIns="0" anchor="t" anchorCtr="0" upright="1">
                      <a:spAutoFit/>
                    </wps:bodyPr>
                  </wps:wsp>
                </a:graphicData>
              </a:graphic>
            </wp:anchor>
          </w:drawing>
        </mc:Choice>
        <mc:Fallback>
          <w:pict>
            <v:shape id="4113" o:spid="_x0000_s1026" o:spt="202" type="#_x0000_t202" style="position:absolute;left:0pt;margin-top:0pt;height:10.35pt;width:9.05pt;mso-position-horizontal:center;mso-position-horizontal-relative:margin;mso-wrap-style:none;z-index:25166950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V+SdAAAAADAQAADwAAAAAAAAABACAAAAAiAAAAZHJzL2Rvd25yZXYueG1sUEsBAhQAFAAA&#10;AAgAh07iQPIiejn3AQAA+wMAAA4AAAAAAAAAAQAgAAAAHwEAAGRycy9lMm9Eb2MueG1sUEsFBgAA&#10;AAAGAAYAWQEAAIg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EC934D"/>
    <w:multiLevelType w:val="singleLevel"/>
    <w:tmpl w:val="C3EC934D"/>
    <w:lvl w:ilvl="0" w:tentative="0">
      <w:start w:val="1"/>
      <w:numFmt w:val="decimal"/>
      <w:suff w:val="nothing"/>
      <w:lvlText w:val="%1、"/>
      <w:lvlJc w:val="left"/>
    </w:lvl>
  </w:abstractNum>
  <w:abstractNum w:abstractNumId="1">
    <w:nsid w:val="00000002"/>
    <w:multiLevelType w:val="singleLevel"/>
    <w:tmpl w:val="00000002"/>
    <w:lvl w:ilvl="0" w:tentative="0">
      <w:start w:val="2"/>
      <w:numFmt w:val="decimal"/>
      <w:suff w:val="nothing"/>
      <w:lvlText w:val="%1、"/>
      <w:lvlJc w:val="left"/>
    </w:lvl>
  </w:abstractNum>
  <w:abstractNum w:abstractNumId="2">
    <w:nsid w:val="00000003"/>
    <w:multiLevelType w:val="singleLevel"/>
    <w:tmpl w:val="00000003"/>
    <w:lvl w:ilvl="0" w:tentative="0">
      <w:start w:val="9"/>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abstractNum w:abstractNumId="6">
    <w:nsid w:val="7A893F9D"/>
    <w:multiLevelType w:val="multilevel"/>
    <w:tmpl w:val="7A893F9D"/>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CD51F34"/>
    <w:multiLevelType w:val="singleLevel"/>
    <w:tmpl w:val="7CD51F34"/>
    <w:lvl w:ilvl="0" w:tentative="0">
      <w:start w:val="4"/>
      <w:numFmt w:val="chineseCounting"/>
      <w:suff w:val="nothing"/>
      <w:lvlText w:val="%1、"/>
      <w:lvlJc w:val="left"/>
      <w:rPr>
        <w:rFonts w:hint="eastAsia"/>
      </w:rPr>
    </w:lvl>
  </w:abstractNum>
  <w:num w:numId="1">
    <w:abstractNumId w:val="3"/>
  </w:num>
  <w:num w:numId="2">
    <w:abstractNumId w:val="6"/>
  </w:num>
  <w:num w:numId="3">
    <w:abstractNumId w:val="4"/>
  </w:num>
  <w:num w:numId="4">
    <w:abstractNumId w:val="7"/>
  </w:num>
  <w:num w:numId="5">
    <w:abstractNumId w:val="0"/>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210"/>
  <w:drawingGridVerticalSpacing w:val="260"/>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2YzFlMjhkY2IxNGYwNjQ4NTQyYjc0MjIyZGVmNDMifQ=="/>
  </w:docVars>
  <w:rsids>
    <w:rsidRoot w:val="0062188A"/>
    <w:rsid w:val="0002669F"/>
    <w:rsid w:val="000418D4"/>
    <w:rsid w:val="00052535"/>
    <w:rsid w:val="00062D18"/>
    <w:rsid w:val="00065A8C"/>
    <w:rsid w:val="00067364"/>
    <w:rsid w:val="00077343"/>
    <w:rsid w:val="00083E37"/>
    <w:rsid w:val="000E5689"/>
    <w:rsid w:val="00116694"/>
    <w:rsid w:val="0018163E"/>
    <w:rsid w:val="00195202"/>
    <w:rsid w:val="00196528"/>
    <w:rsid w:val="0024011F"/>
    <w:rsid w:val="00270CC2"/>
    <w:rsid w:val="002B0644"/>
    <w:rsid w:val="002C3468"/>
    <w:rsid w:val="002C5D0B"/>
    <w:rsid w:val="002E376A"/>
    <w:rsid w:val="002F7629"/>
    <w:rsid w:val="003140F9"/>
    <w:rsid w:val="00334C8D"/>
    <w:rsid w:val="003A0D73"/>
    <w:rsid w:val="003D0404"/>
    <w:rsid w:val="003E1AD3"/>
    <w:rsid w:val="00441A44"/>
    <w:rsid w:val="00472C4D"/>
    <w:rsid w:val="00485CD3"/>
    <w:rsid w:val="004D3356"/>
    <w:rsid w:val="00526C35"/>
    <w:rsid w:val="00537833"/>
    <w:rsid w:val="00581789"/>
    <w:rsid w:val="005949DC"/>
    <w:rsid w:val="005E55CC"/>
    <w:rsid w:val="005F0A8D"/>
    <w:rsid w:val="00600A86"/>
    <w:rsid w:val="00617A60"/>
    <w:rsid w:val="0062188A"/>
    <w:rsid w:val="00682BD8"/>
    <w:rsid w:val="006B5CC4"/>
    <w:rsid w:val="006C7886"/>
    <w:rsid w:val="006D662E"/>
    <w:rsid w:val="007022FD"/>
    <w:rsid w:val="00786E9D"/>
    <w:rsid w:val="0079221D"/>
    <w:rsid w:val="00796E10"/>
    <w:rsid w:val="007A3107"/>
    <w:rsid w:val="007A5C3A"/>
    <w:rsid w:val="007B7983"/>
    <w:rsid w:val="007E4274"/>
    <w:rsid w:val="00804886"/>
    <w:rsid w:val="008204E1"/>
    <w:rsid w:val="0085164C"/>
    <w:rsid w:val="008878CC"/>
    <w:rsid w:val="0089371F"/>
    <w:rsid w:val="00982487"/>
    <w:rsid w:val="009961E0"/>
    <w:rsid w:val="009C0927"/>
    <w:rsid w:val="009E3741"/>
    <w:rsid w:val="00A20216"/>
    <w:rsid w:val="00A32151"/>
    <w:rsid w:val="00A327D1"/>
    <w:rsid w:val="00A74B0C"/>
    <w:rsid w:val="00A97AC0"/>
    <w:rsid w:val="00AE018A"/>
    <w:rsid w:val="00AF197E"/>
    <w:rsid w:val="00B15132"/>
    <w:rsid w:val="00B22BA0"/>
    <w:rsid w:val="00B35AF2"/>
    <w:rsid w:val="00B464C2"/>
    <w:rsid w:val="00B53827"/>
    <w:rsid w:val="00B94880"/>
    <w:rsid w:val="00BA02FA"/>
    <w:rsid w:val="00BC6CCE"/>
    <w:rsid w:val="00BE667C"/>
    <w:rsid w:val="00C65086"/>
    <w:rsid w:val="00C75DC9"/>
    <w:rsid w:val="00C93245"/>
    <w:rsid w:val="00C9703D"/>
    <w:rsid w:val="00CF4300"/>
    <w:rsid w:val="00D02B31"/>
    <w:rsid w:val="00D43C7A"/>
    <w:rsid w:val="00DA6CD1"/>
    <w:rsid w:val="00DD758A"/>
    <w:rsid w:val="00EA665D"/>
    <w:rsid w:val="00EC2D98"/>
    <w:rsid w:val="00ED00C0"/>
    <w:rsid w:val="00EF2974"/>
    <w:rsid w:val="00EF4EC6"/>
    <w:rsid w:val="00FD0F33"/>
    <w:rsid w:val="014A102B"/>
    <w:rsid w:val="01CE59EE"/>
    <w:rsid w:val="022A6766"/>
    <w:rsid w:val="02C44E56"/>
    <w:rsid w:val="03487014"/>
    <w:rsid w:val="035717DD"/>
    <w:rsid w:val="03AB33A9"/>
    <w:rsid w:val="03E56DE9"/>
    <w:rsid w:val="04252FDC"/>
    <w:rsid w:val="044C664D"/>
    <w:rsid w:val="05720B50"/>
    <w:rsid w:val="05CF7D50"/>
    <w:rsid w:val="05F53ECA"/>
    <w:rsid w:val="061B2F96"/>
    <w:rsid w:val="071023CF"/>
    <w:rsid w:val="071C6FC5"/>
    <w:rsid w:val="07364FCE"/>
    <w:rsid w:val="07784F7C"/>
    <w:rsid w:val="079052BE"/>
    <w:rsid w:val="07C75183"/>
    <w:rsid w:val="08326375"/>
    <w:rsid w:val="0837398B"/>
    <w:rsid w:val="092E4D8E"/>
    <w:rsid w:val="0A312D88"/>
    <w:rsid w:val="0ACA6D38"/>
    <w:rsid w:val="0B5D6504"/>
    <w:rsid w:val="0C9413AC"/>
    <w:rsid w:val="0D4E59FF"/>
    <w:rsid w:val="0DDD61E2"/>
    <w:rsid w:val="0EAF1387"/>
    <w:rsid w:val="0ECF0DC1"/>
    <w:rsid w:val="0EF97BEC"/>
    <w:rsid w:val="0F2A74AB"/>
    <w:rsid w:val="0F7B6853"/>
    <w:rsid w:val="0FD348E1"/>
    <w:rsid w:val="10EA3C90"/>
    <w:rsid w:val="11427629"/>
    <w:rsid w:val="11AB1672"/>
    <w:rsid w:val="11E903EC"/>
    <w:rsid w:val="11EF638B"/>
    <w:rsid w:val="12503FC7"/>
    <w:rsid w:val="125F557C"/>
    <w:rsid w:val="128F5FC0"/>
    <w:rsid w:val="12AF0CEE"/>
    <w:rsid w:val="12CE0A4E"/>
    <w:rsid w:val="12D93FBD"/>
    <w:rsid w:val="12E34E3B"/>
    <w:rsid w:val="13692FAC"/>
    <w:rsid w:val="13AA580C"/>
    <w:rsid w:val="14382F65"/>
    <w:rsid w:val="146B333A"/>
    <w:rsid w:val="152B4878"/>
    <w:rsid w:val="15392B59"/>
    <w:rsid w:val="15867667"/>
    <w:rsid w:val="15F9724C"/>
    <w:rsid w:val="16565924"/>
    <w:rsid w:val="16B26FFE"/>
    <w:rsid w:val="181F06C4"/>
    <w:rsid w:val="18455C50"/>
    <w:rsid w:val="1864257A"/>
    <w:rsid w:val="188E75F7"/>
    <w:rsid w:val="18B91496"/>
    <w:rsid w:val="19B66E06"/>
    <w:rsid w:val="19F81246"/>
    <w:rsid w:val="1BD73063"/>
    <w:rsid w:val="1CCD20B8"/>
    <w:rsid w:val="1D077978"/>
    <w:rsid w:val="1D1F4CC2"/>
    <w:rsid w:val="1D365B21"/>
    <w:rsid w:val="1D491D3F"/>
    <w:rsid w:val="1D633CEE"/>
    <w:rsid w:val="1E0F4D36"/>
    <w:rsid w:val="1E277B41"/>
    <w:rsid w:val="1E995222"/>
    <w:rsid w:val="1EA17076"/>
    <w:rsid w:val="1EA60132"/>
    <w:rsid w:val="1EE12B77"/>
    <w:rsid w:val="207672EF"/>
    <w:rsid w:val="20EB1A8B"/>
    <w:rsid w:val="212C3E51"/>
    <w:rsid w:val="21517470"/>
    <w:rsid w:val="21845A3B"/>
    <w:rsid w:val="2221772E"/>
    <w:rsid w:val="223631D9"/>
    <w:rsid w:val="225A5718"/>
    <w:rsid w:val="22682C67"/>
    <w:rsid w:val="22B13EF7"/>
    <w:rsid w:val="245F0394"/>
    <w:rsid w:val="249266C1"/>
    <w:rsid w:val="24947236"/>
    <w:rsid w:val="24A106B2"/>
    <w:rsid w:val="24B65F0C"/>
    <w:rsid w:val="24B959FC"/>
    <w:rsid w:val="25302162"/>
    <w:rsid w:val="25382DC5"/>
    <w:rsid w:val="253D711F"/>
    <w:rsid w:val="25D03945"/>
    <w:rsid w:val="26325A66"/>
    <w:rsid w:val="26695200"/>
    <w:rsid w:val="272D447F"/>
    <w:rsid w:val="278A3680"/>
    <w:rsid w:val="27952750"/>
    <w:rsid w:val="27D8263D"/>
    <w:rsid w:val="27FA35E3"/>
    <w:rsid w:val="286640ED"/>
    <w:rsid w:val="28FE60D3"/>
    <w:rsid w:val="293E2974"/>
    <w:rsid w:val="2A106665"/>
    <w:rsid w:val="2A8059E3"/>
    <w:rsid w:val="2A9A62D0"/>
    <w:rsid w:val="2AE01F34"/>
    <w:rsid w:val="2B0025D7"/>
    <w:rsid w:val="2BC74EA2"/>
    <w:rsid w:val="2BE51BD1"/>
    <w:rsid w:val="2C697D08"/>
    <w:rsid w:val="2CB03B88"/>
    <w:rsid w:val="2CCE2260"/>
    <w:rsid w:val="2CDF7FCA"/>
    <w:rsid w:val="2D2A09B7"/>
    <w:rsid w:val="2DF126AA"/>
    <w:rsid w:val="2E56075F"/>
    <w:rsid w:val="2E89643F"/>
    <w:rsid w:val="2EA8720D"/>
    <w:rsid w:val="2F6F7D2B"/>
    <w:rsid w:val="2FB35E69"/>
    <w:rsid w:val="30420F9B"/>
    <w:rsid w:val="309D2676"/>
    <w:rsid w:val="310426F5"/>
    <w:rsid w:val="3330157F"/>
    <w:rsid w:val="33435AC0"/>
    <w:rsid w:val="336456CD"/>
    <w:rsid w:val="339D07EA"/>
    <w:rsid w:val="33DF57E6"/>
    <w:rsid w:val="34C603ED"/>
    <w:rsid w:val="358636D8"/>
    <w:rsid w:val="359758E5"/>
    <w:rsid w:val="37386C54"/>
    <w:rsid w:val="37464376"/>
    <w:rsid w:val="37A442EA"/>
    <w:rsid w:val="37C52BDE"/>
    <w:rsid w:val="37DE77FC"/>
    <w:rsid w:val="37FF7772"/>
    <w:rsid w:val="380A3FA4"/>
    <w:rsid w:val="381369CA"/>
    <w:rsid w:val="3850234F"/>
    <w:rsid w:val="38B93DC5"/>
    <w:rsid w:val="38D806EF"/>
    <w:rsid w:val="395F047D"/>
    <w:rsid w:val="39C46EC5"/>
    <w:rsid w:val="39CD7B28"/>
    <w:rsid w:val="39E3559D"/>
    <w:rsid w:val="3A0D6176"/>
    <w:rsid w:val="3A830B2E"/>
    <w:rsid w:val="3A8A5A19"/>
    <w:rsid w:val="3AA27206"/>
    <w:rsid w:val="3BF03FA1"/>
    <w:rsid w:val="3BF55114"/>
    <w:rsid w:val="3C4D4F50"/>
    <w:rsid w:val="3C6504CD"/>
    <w:rsid w:val="3C7626F9"/>
    <w:rsid w:val="3CA8487C"/>
    <w:rsid w:val="3CC66AB0"/>
    <w:rsid w:val="3D0715A3"/>
    <w:rsid w:val="3D766728"/>
    <w:rsid w:val="3E210442"/>
    <w:rsid w:val="3E271EB8"/>
    <w:rsid w:val="3E377C66"/>
    <w:rsid w:val="3E3A07E0"/>
    <w:rsid w:val="3E554590"/>
    <w:rsid w:val="3E8804C1"/>
    <w:rsid w:val="3E990920"/>
    <w:rsid w:val="3EAA48DB"/>
    <w:rsid w:val="3EFF6BE9"/>
    <w:rsid w:val="3F3B3785"/>
    <w:rsid w:val="3FFE7E0D"/>
    <w:rsid w:val="415428DD"/>
    <w:rsid w:val="41736037"/>
    <w:rsid w:val="417A3A36"/>
    <w:rsid w:val="41BB732E"/>
    <w:rsid w:val="42402E61"/>
    <w:rsid w:val="429F58A5"/>
    <w:rsid w:val="42F02AD9"/>
    <w:rsid w:val="432F3601"/>
    <w:rsid w:val="43761230"/>
    <w:rsid w:val="44354C47"/>
    <w:rsid w:val="44C47D79"/>
    <w:rsid w:val="44D13DAB"/>
    <w:rsid w:val="44D37FBC"/>
    <w:rsid w:val="45401AF6"/>
    <w:rsid w:val="457572C5"/>
    <w:rsid w:val="45905EAD"/>
    <w:rsid w:val="45B222C8"/>
    <w:rsid w:val="45F14B9E"/>
    <w:rsid w:val="45F75F2C"/>
    <w:rsid w:val="46911EDD"/>
    <w:rsid w:val="47BC11DC"/>
    <w:rsid w:val="47BD6A2C"/>
    <w:rsid w:val="482D3E87"/>
    <w:rsid w:val="4851401A"/>
    <w:rsid w:val="48873598"/>
    <w:rsid w:val="49221512"/>
    <w:rsid w:val="49F44C5D"/>
    <w:rsid w:val="4A0B01F8"/>
    <w:rsid w:val="4A563B69"/>
    <w:rsid w:val="4A5B4CDC"/>
    <w:rsid w:val="4AD66A58"/>
    <w:rsid w:val="4BB02E05"/>
    <w:rsid w:val="4C8A5D4C"/>
    <w:rsid w:val="4CA30BBC"/>
    <w:rsid w:val="4CCC1EC1"/>
    <w:rsid w:val="4CDD40CE"/>
    <w:rsid w:val="4D1E4FB8"/>
    <w:rsid w:val="4D5325E2"/>
    <w:rsid w:val="4DA70C90"/>
    <w:rsid w:val="4DBC3CE3"/>
    <w:rsid w:val="4DD43D8B"/>
    <w:rsid w:val="4DF35AFD"/>
    <w:rsid w:val="4DFA75E6"/>
    <w:rsid w:val="4EA07BA7"/>
    <w:rsid w:val="4EB1136E"/>
    <w:rsid w:val="4F116F22"/>
    <w:rsid w:val="4F9B0FDE"/>
    <w:rsid w:val="50371D47"/>
    <w:rsid w:val="50373AF5"/>
    <w:rsid w:val="508D296A"/>
    <w:rsid w:val="50EA189A"/>
    <w:rsid w:val="512C1180"/>
    <w:rsid w:val="51333828"/>
    <w:rsid w:val="51AE428B"/>
    <w:rsid w:val="51B51175"/>
    <w:rsid w:val="51E01241"/>
    <w:rsid w:val="530D54A1"/>
    <w:rsid w:val="53346859"/>
    <w:rsid w:val="533662E6"/>
    <w:rsid w:val="53BC2C8F"/>
    <w:rsid w:val="53C27B7A"/>
    <w:rsid w:val="53E2021C"/>
    <w:rsid w:val="540E6587"/>
    <w:rsid w:val="54280325"/>
    <w:rsid w:val="550B38B0"/>
    <w:rsid w:val="55766E6E"/>
    <w:rsid w:val="55A51501"/>
    <w:rsid w:val="55C951EF"/>
    <w:rsid w:val="55E2499B"/>
    <w:rsid w:val="565D1DDC"/>
    <w:rsid w:val="568B6949"/>
    <w:rsid w:val="56D2766B"/>
    <w:rsid w:val="56ED315F"/>
    <w:rsid w:val="5765719A"/>
    <w:rsid w:val="579637F7"/>
    <w:rsid w:val="57B65C47"/>
    <w:rsid w:val="57CD4D3F"/>
    <w:rsid w:val="58533196"/>
    <w:rsid w:val="5A3944AF"/>
    <w:rsid w:val="5AA567B3"/>
    <w:rsid w:val="5BDB5C7C"/>
    <w:rsid w:val="5C5872CD"/>
    <w:rsid w:val="5DDB01B6"/>
    <w:rsid w:val="5DEF41AF"/>
    <w:rsid w:val="5E07266A"/>
    <w:rsid w:val="5E5A1314"/>
    <w:rsid w:val="5EEF5607"/>
    <w:rsid w:val="60783DE0"/>
    <w:rsid w:val="60CE4002"/>
    <w:rsid w:val="61CE09E0"/>
    <w:rsid w:val="61DC6C34"/>
    <w:rsid w:val="62310E6C"/>
    <w:rsid w:val="624D0F56"/>
    <w:rsid w:val="638F4C44"/>
    <w:rsid w:val="641943F3"/>
    <w:rsid w:val="64CA4AE0"/>
    <w:rsid w:val="651636FD"/>
    <w:rsid w:val="6638335A"/>
    <w:rsid w:val="66636F9A"/>
    <w:rsid w:val="66920E82"/>
    <w:rsid w:val="66DE4873"/>
    <w:rsid w:val="66EC51E2"/>
    <w:rsid w:val="67065B78"/>
    <w:rsid w:val="67AA6BA3"/>
    <w:rsid w:val="687E00BB"/>
    <w:rsid w:val="68D979E8"/>
    <w:rsid w:val="697E527C"/>
    <w:rsid w:val="6A4B66C3"/>
    <w:rsid w:val="6A553A32"/>
    <w:rsid w:val="6B054AC4"/>
    <w:rsid w:val="6B272C8C"/>
    <w:rsid w:val="6B3727A3"/>
    <w:rsid w:val="6BD91127"/>
    <w:rsid w:val="6BE74475"/>
    <w:rsid w:val="6BF76FC7"/>
    <w:rsid w:val="6C111246"/>
    <w:rsid w:val="6C152AE5"/>
    <w:rsid w:val="6C2244B9"/>
    <w:rsid w:val="6C4909E0"/>
    <w:rsid w:val="6CDB1656"/>
    <w:rsid w:val="6CFA7F2C"/>
    <w:rsid w:val="6E4B6C92"/>
    <w:rsid w:val="6E647D53"/>
    <w:rsid w:val="6F993A2D"/>
    <w:rsid w:val="70EC5DDE"/>
    <w:rsid w:val="71C07997"/>
    <w:rsid w:val="71F94C57"/>
    <w:rsid w:val="724063E2"/>
    <w:rsid w:val="72874010"/>
    <w:rsid w:val="72BA43E6"/>
    <w:rsid w:val="737E4A2B"/>
    <w:rsid w:val="738E22A1"/>
    <w:rsid w:val="73E00C6A"/>
    <w:rsid w:val="747B1953"/>
    <w:rsid w:val="750E79AD"/>
    <w:rsid w:val="7510653F"/>
    <w:rsid w:val="75137DDD"/>
    <w:rsid w:val="75197A63"/>
    <w:rsid w:val="75D25EEA"/>
    <w:rsid w:val="761A4999"/>
    <w:rsid w:val="76465F91"/>
    <w:rsid w:val="76607052"/>
    <w:rsid w:val="76BD4C57"/>
    <w:rsid w:val="780D3330"/>
    <w:rsid w:val="78320EC2"/>
    <w:rsid w:val="7AD1114E"/>
    <w:rsid w:val="7BA34928"/>
    <w:rsid w:val="7BDE0D77"/>
    <w:rsid w:val="7BDE262B"/>
    <w:rsid w:val="7C3C2310"/>
    <w:rsid w:val="7C887303"/>
    <w:rsid w:val="7CBA4FE2"/>
    <w:rsid w:val="7CC145C3"/>
    <w:rsid w:val="7D1E1A15"/>
    <w:rsid w:val="7E1937B1"/>
    <w:rsid w:val="7E5A082B"/>
    <w:rsid w:val="7E60026D"/>
    <w:rsid w:val="7F05482D"/>
    <w:rsid w:val="7FA664FA"/>
    <w:rsid w:val="7FB16B71"/>
    <w:rsid w:val="7FB55BCC"/>
    <w:rsid w:val="7FD95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8"/>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0"/>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41"/>
    <w:autoRedefine/>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2"/>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customStyle="1" w:styleId="2">
    <w:name w:val="表格文字"/>
    <w:basedOn w:val="1"/>
    <w:autoRedefine/>
    <w:qFormat/>
    <w:uiPriority w:val="0"/>
    <w:pPr>
      <w:spacing w:before="25" w:after="25"/>
      <w:jc w:val="left"/>
    </w:pPr>
    <w:rPr>
      <w:bCs/>
      <w:spacing w:val="10"/>
      <w:kern w:val="0"/>
      <w:sz w:val="24"/>
    </w:rPr>
  </w:style>
  <w:style w:type="paragraph" w:styleId="5">
    <w:name w:val="Normal Indent"/>
    <w:basedOn w:val="1"/>
    <w:link w:val="39"/>
    <w:autoRedefine/>
    <w:qFormat/>
    <w:uiPriority w:val="0"/>
    <w:pPr>
      <w:ind w:firstLine="420" w:firstLineChars="200"/>
    </w:pPr>
  </w:style>
  <w:style w:type="paragraph" w:styleId="9">
    <w:name w:val="caption"/>
    <w:basedOn w:val="1"/>
    <w:next w:val="1"/>
    <w:autoRedefine/>
    <w:qFormat/>
    <w:uiPriority w:val="0"/>
    <w:pPr>
      <w:spacing w:before="152" w:after="160"/>
    </w:pPr>
    <w:rPr>
      <w:rFonts w:ascii="Arial" w:hAnsi="Arial" w:eastAsia="黑体" w:cs="Arial"/>
      <w:sz w:val="20"/>
      <w:szCs w:val="20"/>
    </w:rPr>
  </w:style>
  <w:style w:type="paragraph" w:styleId="10">
    <w:name w:val="annotation text"/>
    <w:basedOn w:val="1"/>
    <w:link w:val="43"/>
    <w:autoRedefine/>
    <w:qFormat/>
    <w:uiPriority w:val="0"/>
    <w:pPr>
      <w:jc w:val="left"/>
    </w:pPr>
  </w:style>
  <w:style w:type="paragraph" w:styleId="11">
    <w:name w:val="Body Text 3"/>
    <w:basedOn w:val="1"/>
    <w:link w:val="44"/>
    <w:autoRedefine/>
    <w:qFormat/>
    <w:uiPriority w:val="99"/>
    <w:pPr>
      <w:spacing w:after="120"/>
    </w:pPr>
    <w:rPr>
      <w:sz w:val="16"/>
      <w:szCs w:val="16"/>
    </w:rPr>
  </w:style>
  <w:style w:type="paragraph" w:styleId="12">
    <w:name w:val="Body Text"/>
    <w:basedOn w:val="1"/>
    <w:link w:val="45"/>
    <w:autoRedefine/>
    <w:qFormat/>
    <w:uiPriority w:val="0"/>
    <w:pPr>
      <w:jc w:val="left"/>
      <w:pPrChange w:id="0" w:author="mashioffice" w:date="2024-03-04T10:43:00Z">
        <w:pPr>
          <w:widowControl w:val="0"/>
          <w:jc w:val="center"/>
        </w:pPr>
      </w:pPrChange>
    </w:pPr>
    <w:rPr>
      <w:rPrChange w:id="1" w:author="mashioffice" w:date="2024-03-04T10:43:00Z">
        <w:rPr>
          <w:rFonts w:eastAsia="宋体"/>
          <w:kern w:val="2"/>
          <w:sz w:val="21"/>
          <w:szCs w:val="24"/>
          <w:lang w:val="en-US" w:eastAsia="zh-CN" w:bidi="ar-SA"/>
        </w:rPr>
      </w:rPrChange>
    </w:rPr>
  </w:style>
  <w:style w:type="paragraph" w:styleId="13">
    <w:name w:val="Body Text Indent"/>
    <w:basedOn w:val="1"/>
    <w:link w:val="46"/>
    <w:autoRedefine/>
    <w:qFormat/>
    <w:uiPriority w:val="0"/>
    <w:pPr>
      <w:ind w:firstLine="830" w:firstLineChars="352"/>
    </w:pPr>
    <w:rPr>
      <w:rFonts w:ascii="仿宋_GB2312" w:eastAsia="仿宋_GB2312"/>
      <w:kern w:val="0"/>
      <w:sz w:val="32"/>
      <w:szCs w:val="20"/>
    </w:rPr>
  </w:style>
  <w:style w:type="paragraph" w:styleId="14">
    <w:name w:val="toc 3"/>
    <w:basedOn w:val="1"/>
    <w:next w:val="1"/>
    <w:autoRedefine/>
    <w:qFormat/>
    <w:uiPriority w:val="39"/>
    <w:pPr>
      <w:tabs>
        <w:tab w:val="right" w:leader="dot" w:pos="9476"/>
      </w:tabs>
      <w:spacing w:line="500" w:lineRule="exact"/>
    </w:pPr>
    <w:rPr>
      <w:rFonts w:eastAsia="仿宋_GB2312"/>
    </w:rPr>
  </w:style>
  <w:style w:type="paragraph" w:styleId="15">
    <w:name w:val="Plain Text"/>
    <w:basedOn w:val="1"/>
    <w:next w:val="1"/>
    <w:link w:val="47"/>
    <w:autoRedefine/>
    <w:qFormat/>
    <w:uiPriority w:val="0"/>
    <w:rPr>
      <w:rFonts w:ascii="宋体" w:hAnsi="Courier New"/>
      <w:kern w:val="0"/>
      <w:sz w:val="20"/>
      <w:szCs w:val="21"/>
    </w:rPr>
  </w:style>
  <w:style w:type="paragraph" w:styleId="16">
    <w:name w:val="Date"/>
    <w:basedOn w:val="1"/>
    <w:next w:val="1"/>
    <w:link w:val="48"/>
    <w:autoRedefine/>
    <w:qFormat/>
    <w:uiPriority w:val="0"/>
    <w:pPr>
      <w:ind w:left="100" w:leftChars="2500"/>
    </w:pPr>
  </w:style>
  <w:style w:type="paragraph" w:styleId="17">
    <w:name w:val="Body Text Indent 2"/>
    <w:basedOn w:val="1"/>
    <w:link w:val="49"/>
    <w:autoRedefine/>
    <w:qFormat/>
    <w:uiPriority w:val="0"/>
    <w:pPr>
      <w:spacing w:after="120" w:line="480" w:lineRule="auto"/>
      <w:ind w:left="420" w:leftChars="200"/>
    </w:pPr>
  </w:style>
  <w:style w:type="paragraph" w:styleId="18">
    <w:name w:val="Balloon Text"/>
    <w:basedOn w:val="1"/>
    <w:link w:val="50"/>
    <w:autoRedefine/>
    <w:qFormat/>
    <w:uiPriority w:val="99"/>
    <w:rPr>
      <w:sz w:val="18"/>
      <w:szCs w:val="18"/>
    </w:rPr>
  </w:style>
  <w:style w:type="paragraph" w:styleId="19">
    <w:name w:val="footer"/>
    <w:basedOn w:val="1"/>
    <w:link w:val="51"/>
    <w:autoRedefine/>
    <w:qFormat/>
    <w:uiPriority w:val="0"/>
    <w:pPr>
      <w:tabs>
        <w:tab w:val="center" w:pos="4153"/>
        <w:tab w:val="right" w:pos="8306"/>
      </w:tabs>
      <w:snapToGrid w:val="0"/>
      <w:jc w:val="left"/>
    </w:pPr>
    <w:rPr>
      <w:kern w:val="0"/>
      <w:sz w:val="18"/>
      <w:szCs w:val="18"/>
    </w:rPr>
  </w:style>
  <w:style w:type="paragraph" w:styleId="20">
    <w:name w:val="header"/>
    <w:basedOn w:val="1"/>
    <w:link w:val="52"/>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autoRedefine/>
    <w:qFormat/>
    <w:uiPriority w:val="39"/>
  </w:style>
  <w:style w:type="paragraph" w:styleId="22">
    <w:name w:val="List"/>
    <w:basedOn w:val="1"/>
    <w:autoRedefine/>
    <w:qFormat/>
    <w:uiPriority w:val="0"/>
    <w:pPr>
      <w:ind w:left="200" w:hanging="200" w:hangingChars="200"/>
    </w:pPr>
    <w:rPr>
      <w:sz w:val="28"/>
    </w:rPr>
  </w:style>
  <w:style w:type="paragraph" w:styleId="23">
    <w:name w:val="Body Text Indent 3"/>
    <w:basedOn w:val="1"/>
    <w:link w:val="53"/>
    <w:autoRedefine/>
    <w:qFormat/>
    <w:uiPriority w:val="99"/>
    <w:pPr>
      <w:spacing w:after="120"/>
      <w:ind w:left="420" w:leftChars="200"/>
    </w:pPr>
    <w:rPr>
      <w:sz w:val="16"/>
      <w:szCs w:val="16"/>
    </w:rPr>
  </w:style>
  <w:style w:type="paragraph" w:styleId="24">
    <w:name w:val="toc 9"/>
    <w:basedOn w:val="1"/>
    <w:next w:val="1"/>
    <w:autoRedefine/>
    <w:qFormat/>
    <w:uiPriority w:val="0"/>
    <w:pPr>
      <w:tabs>
        <w:tab w:val="right" w:leader="dot" w:pos="9185"/>
      </w:tabs>
      <w:adjustRightInd w:val="0"/>
      <w:spacing w:line="312" w:lineRule="atLeast"/>
      <w:ind w:left="3360"/>
      <w:textAlignment w:val="baseline"/>
    </w:pPr>
    <w:rPr>
      <w:kern w:val="0"/>
    </w:rPr>
  </w:style>
  <w:style w:type="paragraph" w:styleId="25">
    <w:name w:val="HTML Preformatted"/>
    <w:basedOn w:val="1"/>
    <w:link w:val="5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6">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7">
    <w:name w:val="annotation subject"/>
    <w:basedOn w:val="10"/>
    <w:next w:val="10"/>
    <w:link w:val="55"/>
    <w:autoRedefine/>
    <w:qFormat/>
    <w:uiPriority w:val="0"/>
    <w:rPr>
      <w:b/>
      <w:bCs/>
    </w:r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Strong"/>
    <w:autoRedefine/>
    <w:qFormat/>
    <w:uiPriority w:val="22"/>
    <w:rPr>
      <w:b/>
      <w:bCs/>
    </w:rPr>
  </w:style>
  <w:style w:type="character" w:styleId="32">
    <w:name w:val="page number"/>
    <w:autoRedefine/>
    <w:qFormat/>
    <w:uiPriority w:val="0"/>
  </w:style>
  <w:style w:type="character" w:styleId="33">
    <w:name w:val="FollowedHyperlink"/>
    <w:autoRedefine/>
    <w:qFormat/>
    <w:uiPriority w:val="0"/>
    <w:rPr>
      <w:color w:val="800080"/>
      <w:u w:val="single"/>
    </w:rPr>
  </w:style>
  <w:style w:type="character" w:styleId="34">
    <w:name w:val="Hyperlink"/>
    <w:autoRedefine/>
    <w:qFormat/>
    <w:uiPriority w:val="0"/>
    <w:rPr>
      <w:color w:val="0000FF"/>
      <w:u w:val="single"/>
    </w:rPr>
  </w:style>
  <w:style w:type="character" w:styleId="35">
    <w:name w:val="annotation reference"/>
    <w:autoRedefine/>
    <w:qFormat/>
    <w:uiPriority w:val="0"/>
    <w:rPr>
      <w:sz w:val="21"/>
      <w:szCs w:val="21"/>
    </w:rPr>
  </w:style>
  <w:style w:type="character" w:styleId="36">
    <w:name w:val="HTML Cite"/>
    <w:autoRedefine/>
    <w:qFormat/>
    <w:uiPriority w:val="0"/>
  </w:style>
  <w:style w:type="character" w:customStyle="1" w:styleId="37">
    <w:name w:val="标题 1 Char"/>
    <w:link w:val="3"/>
    <w:autoRedefine/>
    <w:qFormat/>
    <w:uiPriority w:val="0"/>
    <w:rPr>
      <w:b/>
      <w:bCs/>
      <w:kern w:val="44"/>
      <w:sz w:val="44"/>
      <w:szCs w:val="44"/>
    </w:rPr>
  </w:style>
  <w:style w:type="character" w:customStyle="1" w:styleId="38">
    <w:name w:val="标题 2 Char"/>
    <w:link w:val="4"/>
    <w:autoRedefine/>
    <w:qFormat/>
    <w:uiPriority w:val="0"/>
    <w:rPr>
      <w:rFonts w:ascii="Arial" w:hAnsi="Arial" w:eastAsia="黑体"/>
      <w:b/>
      <w:bCs/>
      <w:kern w:val="2"/>
      <w:sz w:val="32"/>
      <w:szCs w:val="32"/>
    </w:rPr>
  </w:style>
  <w:style w:type="character" w:customStyle="1" w:styleId="39">
    <w:name w:val="正文缩进 Char"/>
    <w:link w:val="5"/>
    <w:autoRedefine/>
    <w:qFormat/>
    <w:uiPriority w:val="0"/>
    <w:rPr>
      <w:kern w:val="2"/>
      <w:sz w:val="21"/>
      <w:szCs w:val="24"/>
    </w:rPr>
  </w:style>
  <w:style w:type="character" w:customStyle="1" w:styleId="40">
    <w:name w:val="标题 3 Char1"/>
    <w:link w:val="6"/>
    <w:autoRedefine/>
    <w:qFormat/>
    <w:uiPriority w:val="0"/>
    <w:rPr>
      <w:b/>
      <w:bCs/>
      <w:kern w:val="2"/>
      <w:sz w:val="32"/>
      <w:szCs w:val="32"/>
    </w:rPr>
  </w:style>
  <w:style w:type="character" w:customStyle="1" w:styleId="41">
    <w:name w:val="标题 4 Char"/>
    <w:link w:val="7"/>
    <w:autoRedefine/>
    <w:qFormat/>
    <w:uiPriority w:val="9"/>
    <w:rPr>
      <w:rFonts w:ascii="宋体" w:hAnsi="宋体"/>
      <w:b/>
      <w:sz w:val="24"/>
      <w:szCs w:val="24"/>
    </w:rPr>
  </w:style>
  <w:style w:type="character" w:customStyle="1" w:styleId="42">
    <w:name w:val="标题 5 Char"/>
    <w:link w:val="8"/>
    <w:autoRedefine/>
    <w:qFormat/>
    <w:uiPriority w:val="9"/>
    <w:rPr>
      <w:rFonts w:ascii="宋体" w:hAnsi="宋体" w:cs="宋体"/>
      <w:b/>
    </w:rPr>
  </w:style>
  <w:style w:type="character" w:customStyle="1" w:styleId="43">
    <w:name w:val="批注文字 Char"/>
    <w:link w:val="10"/>
    <w:autoRedefine/>
    <w:qFormat/>
    <w:uiPriority w:val="0"/>
    <w:rPr>
      <w:rFonts w:ascii="Times New Roman" w:hAnsi="Times New Roman"/>
      <w:kern w:val="2"/>
      <w:sz w:val="21"/>
      <w:szCs w:val="24"/>
    </w:rPr>
  </w:style>
  <w:style w:type="character" w:customStyle="1" w:styleId="44">
    <w:name w:val="正文文本 3 Char"/>
    <w:link w:val="11"/>
    <w:autoRedefine/>
    <w:qFormat/>
    <w:uiPriority w:val="99"/>
    <w:rPr>
      <w:kern w:val="2"/>
      <w:sz w:val="16"/>
      <w:szCs w:val="16"/>
    </w:rPr>
  </w:style>
  <w:style w:type="character" w:customStyle="1" w:styleId="45">
    <w:name w:val="正文文本 Char"/>
    <w:link w:val="12"/>
    <w:autoRedefine/>
    <w:qFormat/>
    <w:uiPriority w:val="0"/>
    <w:rPr>
      <w:kern w:val="2"/>
      <w:sz w:val="21"/>
      <w:szCs w:val="24"/>
    </w:rPr>
  </w:style>
  <w:style w:type="character" w:customStyle="1" w:styleId="46">
    <w:name w:val="正文文本缩进 Char"/>
    <w:link w:val="13"/>
    <w:autoRedefine/>
    <w:qFormat/>
    <w:uiPriority w:val="0"/>
    <w:rPr>
      <w:rFonts w:ascii="仿宋_GB2312" w:hAnsi="Times New Roman" w:eastAsia="仿宋_GB2312" w:cs="Times New Roman"/>
      <w:sz w:val="32"/>
      <w:szCs w:val="20"/>
    </w:rPr>
  </w:style>
  <w:style w:type="character" w:customStyle="1" w:styleId="47">
    <w:name w:val="纯文本 Char2"/>
    <w:link w:val="15"/>
    <w:autoRedefine/>
    <w:qFormat/>
    <w:uiPriority w:val="0"/>
    <w:rPr>
      <w:rFonts w:ascii="宋体" w:hAnsi="Courier New" w:eastAsia="宋体" w:cs="Courier New"/>
      <w:szCs w:val="21"/>
    </w:rPr>
  </w:style>
  <w:style w:type="character" w:customStyle="1" w:styleId="48">
    <w:name w:val="日期 Char"/>
    <w:link w:val="16"/>
    <w:autoRedefine/>
    <w:qFormat/>
    <w:uiPriority w:val="0"/>
    <w:rPr>
      <w:kern w:val="2"/>
      <w:sz w:val="21"/>
      <w:szCs w:val="24"/>
    </w:rPr>
  </w:style>
  <w:style w:type="character" w:customStyle="1" w:styleId="49">
    <w:name w:val="正文文本缩进 2 Char"/>
    <w:link w:val="17"/>
    <w:autoRedefine/>
    <w:qFormat/>
    <w:uiPriority w:val="0"/>
    <w:rPr>
      <w:kern w:val="2"/>
      <w:sz w:val="21"/>
      <w:szCs w:val="24"/>
    </w:rPr>
  </w:style>
  <w:style w:type="character" w:customStyle="1" w:styleId="50">
    <w:name w:val="批注框文本 Char"/>
    <w:link w:val="18"/>
    <w:autoRedefine/>
    <w:qFormat/>
    <w:uiPriority w:val="99"/>
    <w:rPr>
      <w:kern w:val="2"/>
      <w:sz w:val="18"/>
      <w:szCs w:val="18"/>
    </w:rPr>
  </w:style>
  <w:style w:type="character" w:customStyle="1" w:styleId="51">
    <w:name w:val="页脚 Char"/>
    <w:link w:val="19"/>
    <w:autoRedefine/>
    <w:qFormat/>
    <w:uiPriority w:val="0"/>
    <w:rPr>
      <w:sz w:val="18"/>
      <w:szCs w:val="18"/>
    </w:rPr>
  </w:style>
  <w:style w:type="character" w:customStyle="1" w:styleId="52">
    <w:name w:val="页眉 Char"/>
    <w:link w:val="20"/>
    <w:autoRedefine/>
    <w:qFormat/>
    <w:uiPriority w:val="0"/>
    <w:rPr>
      <w:sz w:val="18"/>
      <w:szCs w:val="18"/>
    </w:rPr>
  </w:style>
  <w:style w:type="character" w:customStyle="1" w:styleId="53">
    <w:name w:val="正文文本缩进 3 Char"/>
    <w:link w:val="23"/>
    <w:autoRedefine/>
    <w:qFormat/>
    <w:uiPriority w:val="99"/>
    <w:rPr>
      <w:kern w:val="2"/>
      <w:sz w:val="16"/>
      <w:szCs w:val="16"/>
    </w:rPr>
  </w:style>
  <w:style w:type="character" w:customStyle="1" w:styleId="54">
    <w:name w:val="HTML 预设格式 Char"/>
    <w:link w:val="25"/>
    <w:autoRedefine/>
    <w:qFormat/>
    <w:uiPriority w:val="99"/>
    <w:rPr>
      <w:rFonts w:ascii="宋体" w:hAnsi="宋体" w:cs="宋体"/>
      <w:sz w:val="24"/>
      <w:szCs w:val="24"/>
    </w:rPr>
  </w:style>
  <w:style w:type="character" w:customStyle="1" w:styleId="55">
    <w:name w:val="批注主题 Char"/>
    <w:link w:val="27"/>
    <w:autoRedefine/>
    <w:qFormat/>
    <w:uiPriority w:val="0"/>
    <w:rPr>
      <w:rFonts w:ascii="Times New Roman" w:hAnsi="Times New Roman"/>
      <w:b/>
      <w:bCs/>
      <w:kern w:val="2"/>
      <w:sz w:val="21"/>
      <w:szCs w:val="24"/>
    </w:rPr>
  </w:style>
  <w:style w:type="character" w:customStyle="1" w:styleId="56">
    <w:name w:val="页脚 字符"/>
    <w:autoRedefine/>
    <w:qFormat/>
    <w:uiPriority w:val="99"/>
    <w:rPr>
      <w:rFonts w:ascii="Times New Roman" w:hAnsi="Times New Roman" w:eastAsia="宋体" w:cs="Times New Roman"/>
      <w:sz w:val="18"/>
      <w:szCs w:val="18"/>
    </w:rPr>
  </w:style>
  <w:style w:type="character" w:customStyle="1" w:styleId="57">
    <w:name w:val="font91"/>
    <w:autoRedefine/>
    <w:qFormat/>
    <w:uiPriority w:val="0"/>
    <w:rPr>
      <w:rFonts w:hint="default" w:ascii="仿宋_GB2312" w:eastAsia="仿宋_GB2312" w:cs="仿宋_GB2312"/>
      <w:color w:val="000000"/>
      <w:sz w:val="22"/>
      <w:szCs w:val="22"/>
      <w:u w:val="none"/>
    </w:rPr>
  </w:style>
  <w:style w:type="character" w:customStyle="1" w:styleId="58">
    <w:name w:val="普通文字 Char Char3"/>
    <w:autoRedefine/>
    <w:qFormat/>
    <w:uiPriority w:val="0"/>
    <w:rPr>
      <w:rFonts w:ascii="宋体" w:hAnsi="Courier New" w:eastAsia="宋体"/>
      <w:kern w:val="2"/>
      <w:sz w:val="21"/>
      <w:lang w:val="en-US" w:eastAsia="zh-CN" w:bidi="ar-SA"/>
    </w:rPr>
  </w:style>
  <w:style w:type="character" w:customStyle="1" w:styleId="59">
    <w:name w:val="纯文本 字符"/>
    <w:autoRedefine/>
    <w:qFormat/>
    <w:uiPriority w:val="0"/>
    <w:rPr>
      <w:rFonts w:ascii="宋体" w:hAnsi="Courier New" w:eastAsia="宋体" w:cs="Courier New"/>
      <w:szCs w:val="21"/>
    </w:rPr>
  </w:style>
  <w:style w:type="character" w:customStyle="1" w:styleId="60">
    <w:name w:val="标题 3 Char"/>
    <w:autoRedefine/>
    <w:qFormat/>
    <w:uiPriority w:val="0"/>
    <w:rPr>
      <w:rFonts w:eastAsia="宋体"/>
      <w:b/>
      <w:bCs/>
      <w:kern w:val="2"/>
      <w:sz w:val="32"/>
      <w:szCs w:val="32"/>
      <w:lang w:val="en-US" w:eastAsia="zh-CN" w:bidi="ar-SA"/>
    </w:rPr>
  </w:style>
  <w:style w:type="character" w:customStyle="1" w:styleId="61">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2">
    <w:name w:val="页眉 字符"/>
    <w:autoRedefine/>
    <w:qFormat/>
    <w:uiPriority w:val="0"/>
    <w:rPr>
      <w:rFonts w:ascii="Times New Roman" w:hAnsi="Times New Roman" w:eastAsia="宋体" w:cs="Times New Roman"/>
      <w:sz w:val="18"/>
      <w:szCs w:val="18"/>
    </w:rPr>
  </w:style>
  <w:style w:type="character" w:customStyle="1" w:styleId="63">
    <w:name w:val="font01"/>
    <w:autoRedefine/>
    <w:qFormat/>
    <w:uiPriority w:val="0"/>
    <w:rPr>
      <w:rFonts w:hint="eastAsia" w:ascii="宋体" w:hAnsi="宋体" w:eastAsia="宋体" w:cs="宋体"/>
      <w:b/>
      <w:color w:val="000000"/>
      <w:sz w:val="20"/>
      <w:szCs w:val="20"/>
      <w:u w:val="none"/>
    </w:rPr>
  </w:style>
  <w:style w:type="character" w:customStyle="1" w:styleId="64">
    <w:name w:val="Char Char3"/>
    <w:autoRedefine/>
    <w:qFormat/>
    <w:uiPriority w:val="0"/>
    <w:rPr>
      <w:rFonts w:ascii="宋体" w:hAnsi="Courier New" w:eastAsia="宋体"/>
      <w:b/>
      <w:kern w:val="2"/>
      <w:sz w:val="21"/>
      <w:lang w:val="en-US" w:eastAsia="zh-CN"/>
    </w:rPr>
  </w:style>
  <w:style w:type="character" w:customStyle="1" w:styleId="65">
    <w:name w:val="font71"/>
    <w:autoRedefine/>
    <w:qFormat/>
    <w:uiPriority w:val="0"/>
    <w:rPr>
      <w:rFonts w:hint="default" w:ascii="Arial" w:hAnsi="Arial" w:cs="Arial"/>
      <w:color w:val="000000"/>
      <w:sz w:val="22"/>
      <w:szCs w:val="22"/>
      <w:u w:val="none"/>
    </w:rPr>
  </w:style>
  <w:style w:type="character" w:customStyle="1" w:styleId="66">
    <w:name w:val="font11"/>
    <w:autoRedefine/>
    <w:qFormat/>
    <w:uiPriority w:val="0"/>
    <w:rPr>
      <w:rFonts w:hint="eastAsia" w:ascii="宋体" w:hAnsi="宋体" w:eastAsia="宋体" w:cs="宋体"/>
      <w:color w:val="000000"/>
      <w:sz w:val="20"/>
      <w:szCs w:val="20"/>
      <w:u w:val="none"/>
    </w:rPr>
  </w:style>
  <w:style w:type="character" w:customStyle="1" w:styleId="67">
    <w:name w:val="纯文本 Char1"/>
    <w:autoRedefine/>
    <w:qFormat/>
    <w:uiPriority w:val="0"/>
    <w:rPr>
      <w:rFonts w:ascii="宋体" w:hAnsi="Courier New" w:eastAsia="宋体" w:cs="Courier New"/>
      <w:szCs w:val="21"/>
    </w:rPr>
  </w:style>
  <w:style w:type="character" w:customStyle="1" w:styleId="68">
    <w:name w:val="正文文本缩进 字符"/>
    <w:autoRedefine/>
    <w:qFormat/>
    <w:uiPriority w:val="0"/>
    <w:rPr>
      <w:rFonts w:ascii="仿宋_GB2312" w:hAnsi="Times New Roman" w:eastAsia="仿宋_GB2312" w:cs="Times New Roman"/>
      <w:sz w:val="32"/>
      <w:szCs w:val="20"/>
    </w:rPr>
  </w:style>
  <w:style w:type="character" w:customStyle="1" w:styleId="69">
    <w:name w:val="font121"/>
    <w:autoRedefine/>
    <w:qFormat/>
    <w:uiPriority w:val="0"/>
    <w:rPr>
      <w:rFonts w:hint="eastAsia" w:ascii="宋体" w:hAnsi="宋体" w:eastAsia="宋体" w:cs="宋体"/>
      <w:b/>
      <w:bCs/>
      <w:color w:val="000000"/>
      <w:sz w:val="20"/>
      <w:szCs w:val="20"/>
      <w:u w:val="none"/>
    </w:rPr>
  </w:style>
  <w:style w:type="character" w:customStyle="1" w:styleId="70">
    <w:name w:val="纯文本 Char"/>
    <w:autoRedefine/>
    <w:qFormat/>
    <w:uiPriority w:val="0"/>
    <w:rPr>
      <w:rFonts w:ascii="宋体" w:hAnsi="Courier New" w:eastAsia="宋体"/>
      <w:szCs w:val="21"/>
      <w:lang w:bidi="ar-SA"/>
    </w:rPr>
  </w:style>
  <w:style w:type="character" w:customStyle="1" w:styleId="71">
    <w:name w:val="apple-converted-space"/>
    <w:autoRedefine/>
    <w:qFormat/>
    <w:uiPriority w:val="0"/>
  </w:style>
  <w:style w:type="paragraph" w:customStyle="1" w:styleId="72">
    <w:name w:val="_Style 5"/>
    <w:basedOn w:val="1"/>
    <w:autoRedefine/>
    <w:qFormat/>
    <w:uiPriority w:val="34"/>
    <w:pPr>
      <w:ind w:firstLine="420" w:firstLineChars="200"/>
    </w:pPr>
  </w:style>
  <w:style w:type="paragraph" w:customStyle="1" w:styleId="73">
    <w:name w:val="表格字体"/>
    <w:basedOn w:val="1"/>
    <w:autoRedefine/>
    <w:qFormat/>
    <w:uiPriority w:val="0"/>
    <w:rPr>
      <w:sz w:val="18"/>
      <w:szCs w:val="18"/>
    </w:rPr>
  </w:style>
  <w:style w:type="paragraph" w:customStyle="1" w:styleId="74">
    <w:name w:val="彩色列表 - 强调文字颜色 11"/>
    <w:basedOn w:val="1"/>
    <w:autoRedefine/>
    <w:qFormat/>
    <w:uiPriority w:val="0"/>
    <w:pPr>
      <w:ind w:firstLine="420" w:firstLineChars="200"/>
    </w:pPr>
    <w:rPr>
      <w:rFonts w:ascii="Calibri" w:hAnsi="Calibri"/>
      <w:szCs w:val="22"/>
    </w:rPr>
  </w:style>
  <w:style w:type="paragraph" w:customStyle="1" w:styleId="75">
    <w:name w:val="p0"/>
    <w:basedOn w:val="1"/>
    <w:autoRedefine/>
    <w:qFormat/>
    <w:uiPriority w:val="0"/>
    <w:pPr>
      <w:widowControl/>
    </w:pPr>
    <w:rPr>
      <w:kern w:val="0"/>
      <w:szCs w:val="21"/>
    </w:rPr>
  </w:style>
  <w:style w:type="paragraph" w:customStyle="1" w:styleId="76">
    <w:name w:val="_Style 1"/>
    <w:basedOn w:val="1"/>
    <w:autoRedefine/>
    <w:qFormat/>
    <w:uiPriority w:val="34"/>
    <w:pPr>
      <w:spacing w:line="560" w:lineRule="exact"/>
      <w:ind w:firstLine="420" w:firstLineChars="200"/>
    </w:pPr>
    <w:rPr>
      <w:szCs w:val="21"/>
    </w:rPr>
  </w:style>
  <w:style w:type="paragraph" w:customStyle="1" w:styleId="77">
    <w:name w:val="默认段落字体 Para Char Char Char Char Char Char Char Char Char1 Char Char Char Char Char Char Char"/>
    <w:basedOn w:val="1"/>
    <w:autoRedefine/>
    <w:qFormat/>
    <w:uiPriority w:val="0"/>
    <w:rPr>
      <w:b/>
      <w:bCs/>
      <w:sz w:val="36"/>
      <w:szCs w:val="32"/>
    </w:rPr>
  </w:style>
  <w:style w:type="paragraph" w:customStyle="1" w:styleId="78">
    <w:name w:val="1"/>
    <w:basedOn w:val="1"/>
    <w:next w:val="15"/>
    <w:autoRedefine/>
    <w:qFormat/>
    <w:uiPriority w:val="0"/>
    <w:rPr>
      <w:rFonts w:ascii="宋体" w:hAnsi="Courier New"/>
      <w:szCs w:val="20"/>
    </w:rPr>
  </w:style>
  <w:style w:type="paragraph" w:customStyle="1" w:styleId="79">
    <w:name w:val="Table Paragraph"/>
    <w:basedOn w:val="1"/>
    <w:autoRedefine/>
    <w:qFormat/>
    <w:uiPriority w:val="1"/>
    <w:rPr>
      <w:rFonts w:ascii="宋体" w:hAnsi="宋体" w:cs="宋体"/>
      <w:lang w:val="zh-CN" w:bidi="zh-CN"/>
    </w:rPr>
  </w:style>
  <w:style w:type="paragraph" w:customStyle="1" w:styleId="80">
    <w:name w:val="Char Char"/>
    <w:basedOn w:val="1"/>
    <w:autoRedefine/>
    <w:qFormat/>
    <w:uiPriority w:val="0"/>
    <w:rPr>
      <w:rFonts w:ascii="仿宋_GB2312" w:eastAsia="仿宋_GB2312"/>
      <w:b/>
      <w:sz w:val="32"/>
      <w:szCs w:val="32"/>
    </w:rPr>
  </w:style>
  <w:style w:type="paragraph" w:customStyle="1" w:styleId="81">
    <w:name w:val="Char"/>
    <w:basedOn w:val="1"/>
    <w:autoRedefine/>
    <w:qFormat/>
    <w:uiPriority w:val="0"/>
  </w:style>
  <w:style w:type="paragraph" w:customStyle="1" w:styleId="82">
    <w:name w:val="Char1"/>
    <w:basedOn w:val="1"/>
    <w:autoRedefine/>
    <w:qFormat/>
    <w:uiPriority w:val="0"/>
    <w:rPr>
      <w:rFonts w:ascii="仿宋_GB2312" w:eastAsia="仿宋_GB2312"/>
      <w:b/>
      <w:sz w:val="32"/>
      <w:szCs w:val="32"/>
    </w:rPr>
  </w:style>
  <w:style w:type="paragraph" w:customStyle="1" w:styleId="83">
    <w:name w:val="Char1 Char Char Char Char Char"/>
    <w:basedOn w:val="1"/>
    <w:autoRedefine/>
    <w:qFormat/>
    <w:uiPriority w:val="0"/>
    <w:rPr>
      <w:rFonts w:eastAsia="Times New Roman"/>
      <w:b/>
      <w:bCs/>
      <w:kern w:val="0"/>
      <w:sz w:val="36"/>
      <w:szCs w:val="32"/>
    </w:rPr>
  </w:style>
  <w:style w:type="paragraph" w:customStyle="1" w:styleId="84">
    <w:name w:val="Char1 Char Char Char"/>
    <w:basedOn w:val="1"/>
    <w:autoRedefine/>
    <w:qFormat/>
    <w:uiPriority w:val="0"/>
    <w:rPr>
      <w:rFonts w:ascii="Tahoma" w:hAnsi="Tahoma"/>
      <w:sz w:val="24"/>
      <w:szCs w:val="20"/>
    </w:rPr>
  </w:style>
  <w:style w:type="paragraph" w:customStyle="1" w:styleId="85">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86">
    <w:name w:val="List Paragraph_5c905af4-ca67-41ba-9cfd-e418a4550956"/>
    <w:basedOn w:val="1"/>
    <w:autoRedefine/>
    <w:qFormat/>
    <w:uiPriority w:val="0"/>
    <w:pPr>
      <w:ind w:firstLine="420" w:firstLineChars="200"/>
    </w:pPr>
  </w:style>
  <w:style w:type="paragraph" w:customStyle="1" w:styleId="87">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8">
    <w:name w:val="列表段落1"/>
    <w:basedOn w:val="1"/>
    <w:autoRedefine/>
    <w:qFormat/>
    <w:uiPriority w:val="34"/>
    <w:pPr>
      <w:ind w:firstLine="420" w:firstLineChars="200"/>
    </w:pPr>
    <w:rPr>
      <w:szCs w:val="20"/>
    </w:rPr>
  </w:style>
  <w:style w:type="paragraph" w:customStyle="1" w:styleId="89">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90">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1">
    <w:name w:val="段落"/>
    <w:basedOn w:val="1"/>
    <w:autoRedefine/>
    <w:qFormat/>
    <w:uiPriority w:val="0"/>
    <w:pPr>
      <w:autoSpaceDE w:val="0"/>
      <w:autoSpaceDN w:val="0"/>
      <w:adjustRightInd w:val="0"/>
      <w:spacing w:line="360" w:lineRule="auto"/>
      <w:ind w:firstLine="420" w:firstLineChars="200"/>
      <w:jc w:val="left"/>
      <w:textAlignment w:val="bottom"/>
    </w:pPr>
    <w:rPr>
      <w:rFonts w:ascii="宋体" w:hAnsi="宋体"/>
      <w:kern w:val="0"/>
      <w:szCs w:val="21"/>
    </w:rPr>
  </w:style>
  <w:style w:type="paragraph" w:customStyle="1" w:styleId="92">
    <w:name w:val="纯文本1"/>
    <w:basedOn w:val="1"/>
    <w:next w:val="1"/>
    <w:autoRedefine/>
    <w:qFormat/>
    <w:uiPriority w:val="0"/>
    <w:rPr>
      <w:rFonts w:ascii="宋体" w:hAnsi="宋体"/>
      <w:sz w:val="2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3008</Words>
  <Characters>17152</Characters>
  <Lines>142</Lines>
  <Paragraphs>40</Paragraphs>
  <TotalTime>25</TotalTime>
  <ScaleCrop>false</ScaleCrop>
  <LinksUpToDate>false</LinksUpToDate>
  <CharactersWithSpaces>20120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2024-03-01T09:56:00Z</dcterms:created>
  <dc:creator>唐冰</dc:creator>
  <cp:lastModifiedBy>韦宝</cp:lastModifiedBy>
  <cp:lastPrinted>2019-04-15T00:11:00Z</cp:lastPrinted>
  <dcterms:modified xsi:type="dcterms:W3CDTF">2024-03-11T11:01:39Z</dcterms:modified>
  <dc:title>竞争性谈判文件规范</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0_embed</vt:lpwstr>
  </property>
  <property fmtid="{D5CDD505-2E9C-101B-9397-08002B2CF9AE}" pid="4" name="ICV">
    <vt:lpwstr>1B9A8D3462534709B17F161808159F51_13</vt:lpwstr>
  </property>
</Properties>
</file>