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7"/>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7"/>
        <w:snapToGrid w:val="0"/>
        <w:spacing w:before="120" w:after="120" w:line="360" w:lineRule="auto"/>
        <w:jc w:val="center"/>
        <w:rPr>
          <w:rFonts w:ascii="Times New Roman" w:hAnsi="Times New Roman" w:eastAsia="仿宋"/>
          <w:b/>
          <w:bCs/>
          <w:sz w:val="30"/>
          <w:szCs w:val="30"/>
        </w:rPr>
      </w:pPr>
    </w:p>
    <w:p>
      <w:pPr>
        <w:ind w:firstLine="412"/>
        <w:jc w:val="left"/>
        <w:rPr>
          <w:rFonts w:eastAsia="仿宋"/>
          <w:b/>
          <w:kern w:val="0"/>
          <w:sz w:val="30"/>
          <w:szCs w:val="72"/>
        </w:rPr>
      </w:pPr>
      <w:r>
        <w:rPr>
          <w:rFonts w:eastAsia="仿宋"/>
          <w:b/>
          <w:sz w:val="30"/>
          <w:szCs w:val="72"/>
        </w:rPr>
        <w:t>项目名称：</w:t>
      </w:r>
      <w:r>
        <w:rPr>
          <w:rFonts w:hint="eastAsia" w:eastAsia="仿宋"/>
          <w:b/>
          <w:kern w:val="0"/>
          <w:sz w:val="30"/>
          <w:szCs w:val="72"/>
        </w:rPr>
        <w:t>广西融合视频会议系统项目工程监理服务</w:t>
      </w:r>
    </w:p>
    <w:p>
      <w:pPr>
        <w:pStyle w:val="17"/>
        <w:snapToGrid w:val="0"/>
        <w:spacing w:before="120" w:after="120" w:line="360" w:lineRule="auto"/>
        <w:ind w:firstLine="1656" w:firstLineChars="550"/>
        <w:rPr>
          <w:rFonts w:ascii="Times New Roman" w:hAnsi="Times New Roman" w:eastAsia="仿宋"/>
          <w:b/>
          <w:sz w:val="30"/>
          <w:szCs w:val="72"/>
        </w:rPr>
      </w:pPr>
    </w:p>
    <w:p>
      <w:pPr>
        <w:pStyle w:val="17"/>
        <w:snapToGrid w:val="0"/>
        <w:spacing w:before="120" w:after="120" w:line="360" w:lineRule="auto"/>
        <w:ind w:firstLine="2397" w:firstLineChars="796"/>
        <w:rPr>
          <w:rFonts w:ascii="Times New Roman" w:hAnsi="Times New Roman" w:eastAsia="仿宋"/>
          <w:b/>
          <w:sz w:val="30"/>
          <w:szCs w:val="72"/>
        </w:rPr>
      </w:pPr>
    </w:p>
    <w:p>
      <w:pPr>
        <w:pStyle w:val="17"/>
        <w:snapToGrid w:val="0"/>
        <w:spacing w:before="120" w:after="120" w:line="360" w:lineRule="auto"/>
        <w:ind w:firstLine="2397" w:firstLineChars="796"/>
        <w:rPr>
          <w:rFonts w:ascii="Times New Roman" w:hAnsi="Times New Roman" w:eastAsia="仿宋"/>
          <w:b/>
          <w:sz w:val="30"/>
          <w:szCs w:val="72"/>
        </w:rPr>
      </w:pPr>
    </w:p>
    <w:p>
      <w:pPr>
        <w:pStyle w:val="17"/>
        <w:snapToGrid w:val="0"/>
        <w:spacing w:before="120" w:after="120" w:line="360" w:lineRule="auto"/>
        <w:ind w:firstLine="2397" w:firstLineChars="796"/>
        <w:rPr>
          <w:rFonts w:ascii="Times New Roman" w:hAnsi="Times New Roman" w:eastAsia="仿宋"/>
          <w:b/>
          <w:sz w:val="30"/>
          <w:szCs w:val="72"/>
        </w:rPr>
      </w:pPr>
    </w:p>
    <w:p>
      <w:pPr>
        <w:pStyle w:val="17"/>
        <w:snapToGrid w:val="0"/>
        <w:spacing w:before="120" w:after="120" w:line="360" w:lineRule="auto"/>
        <w:ind w:firstLine="2397" w:firstLineChars="796"/>
        <w:rPr>
          <w:rFonts w:ascii="Times New Roman" w:hAnsi="Times New Roman" w:eastAsia="仿宋"/>
          <w:b/>
          <w:sz w:val="30"/>
          <w:szCs w:val="72"/>
        </w:rPr>
      </w:pPr>
    </w:p>
    <w:p>
      <w:pPr>
        <w:pStyle w:val="17"/>
        <w:snapToGrid w:val="0"/>
        <w:spacing w:before="120" w:after="120" w:line="360" w:lineRule="auto"/>
        <w:ind w:firstLine="2397" w:firstLineChars="796"/>
        <w:rPr>
          <w:rFonts w:ascii="Times New Roman" w:hAnsi="Times New Roman" w:eastAsia="仿宋"/>
          <w:b/>
          <w:sz w:val="30"/>
          <w:szCs w:val="72"/>
        </w:rPr>
      </w:pPr>
    </w:p>
    <w:p>
      <w:pPr>
        <w:pStyle w:val="17"/>
        <w:snapToGrid w:val="0"/>
        <w:spacing w:before="120" w:after="120" w:line="360" w:lineRule="auto"/>
        <w:jc w:val="center"/>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400" w:lineRule="exact"/>
        <w:jc w:val="center"/>
        <w:rPr>
          <w:rFonts w:ascii="宋体" w:hAnsi="宋体"/>
          <w:b/>
          <w:sz w:val="44"/>
          <w:szCs w:val="44"/>
        </w:rPr>
      </w:pPr>
      <w:r>
        <w:rPr>
          <w:rFonts w:eastAsia="仿宋"/>
          <w:b/>
          <w:bCs/>
          <w:w w:val="95"/>
          <w:sz w:val="30"/>
          <w:szCs w:val="30"/>
        </w:rPr>
        <w:t>202</w:t>
      </w:r>
      <w:r>
        <w:rPr>
          <w:rFonts w:hint="eastAsia" w:eastAsia="仿宋"/>
          <w:b/>
          <w:bCs/>
          <w:w w:val="95"/>
          <w:sz w:val="30"/>
          <w:szCs w:val="30"/>
        </w:rPr>
        <w:t>3</w:t>
      </w:r>
      <w:r>
        <w:rPr>
          <w:rFonts w:eastAsia="仿宋"/>
          <w:b/>
          <w:bCs/>
          <w:w w:val="95"/>
          <w:sz w:val="30"/>
          <w:szCs w:val="30"/>
        </w:rPr>
        <w:t>年</w:t>
      </w:r>
      <w:r>
        <w:rPr>
          <w:rFonts w:hint="eastAsia" w:eastAsia="仿宋"/>
          <w:b/>
          <w:bCs/>
          <w:w w:val="95"/>
          <w:sz w:val="30"/>
          <w:szCs w:val="30"/>
        </w:rPr>
        <w:t>11</w:t>
      </w:r>
      <w:r>
        <w:rPr>
          <w:rFonts w:eastAsia="仿宋"/>
          <w:b/>
          <w:bCs/>
          <w:w w:val="95"/>
          <w:sz w:val="30"/>
          <w:szCs w:val="30"/>
        </w:rPr>
        <w:t>月</w:t>
      </w:r>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采购公告…………………………………………………………3</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供应商须知及前附表……………………………………………5</w:t>
      </w:r>
    </w:p>
    <w:p>
      <w:pPr>
        <w:numPr>
          <w:ilvl w:val="0"/>
          <w:numId w:val="1"/>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…………………………………………………12</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评审办法及成交标准……………………………………………15</w:t>
      </w:r>
    </w:p>
    <w:p>
      <w:pPr>
        <w:numPr>
          <w:ilvl w:val="0"/>
          <w:numId w:val="1"/>
        </w:numPr>
        <w:spacing w:line="800" w:lineRule="exact"/>
        <w:ind w:left="1077" w:hanging="717"/>
        <w:jc w:val="left"/>
        <w:rPr>
          <w:rFonts w:ascii="宋体" w:hAnsi="宋体"/>
          <w:b/>
          <w:sz w:val="28"/>
          <w:szCs w:val="32"/>
        </w:rPr>
      </w:pPr>
      <w:r>
        <w:rPr>
          <w:rFonts w:hint="eastAsia" w:ascii="宋体" w:hAnsi="宋体"/>
          <w:b/>
          <w:sz w:val="28"/>
          <w:szCs w:val="32"/>
        </w:rPr>
        <w:t>响应文件格式……………………………………………………17</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2"/>
        </w:numPr>
        <w:spacing w:line="500" w:lineRule="exact"/>
        <w:jc w:val="center"/>
        <w:rPr>
          <w:rFonts w:ascii="宋体" w:hAnsi="宋体"/>
          <w:b/>
          <w:sz w:val="28"/>
          <w:szCs w:val="28"/>
        </w:rPr>
        <w:sectPr>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sz w:val="28"/>
          <w:szCs w:val="28"/>
        </w:rPr>
      </w:pPr>
      <w:r>
        <w:rPr>
          <w:rFonts w:hint="eastAsia" w:ascii="宋体" w:hAnsi="宋体"/>
          <w:b/>
          <w:sz w:val="28"/>
          <w:szCs w:val="28"/>
        </w:rPr>
        <w:t>采购公告</w:t>
      </w:r>
    </w:p>
    <w:p>
      <w:pPr>
        <w:pStyle w:val="87"/>
        <w:spacing w:line="600" w:lineRule="exact"/>
        <w:rPr>
          <w:rFonts w:ascii="宋体" w:hAnsi="宋体"/>
          <w:b/>
          <w:sz w:val="28"/>
          <w:szCs w:val="28"/>
        </w:rPr>
      </w:pPr>
      <w:r>
        <w:rPr>
          <w:rFonts w:hint="eastAsia" w:ascii="宋体" w:hAnsi="宋体"/>
          <w:b/>
          <w:sz w:val="28"/>
          <w:szCs w:val="28"/>
        </w:rPr>
        <w:t>广西壮族自治区信息中心关于广西融合视频会议系统项目工程监理服务</w:t>
      </w:r>
    </w:p>
    <w:p>
      <w:pPr>
        <w:pStyle w:val="87"/>
        <w:spacing w:line="600" w:lineRule="exact"/>
        <w:rPr>
          <w:rFonts w:ascii="宋体" w:hAnsi="宋体"/>
          <w:sz w:val="24"/>
        </w:rPr>
      </w:pPr>
      <w:r>
        <w:rPr>
          <w:rFonts w:hint="eastAsia" w:ascii="宋体" w:hAnsi="宋体"/>
          <w:b/>
          <w:sz w:val="28"/>
          <w:szCs w:val="28"/>
        </w:rPr>
        <w:t>采购公告</w:t>
      </w:r>
    </w:p>
    <w:p>
      <w:pPr>
        <w:spacing w:line="400" w:lineRule="exact"/>
        <w:ind w:firstLine="480" w:firstLineChars="200"/>
        <w:jc w:val="left"/>
        <w:rPr>
          <w:rFonts w:ascii="宋体" w:hAnsi="宋体"/>
          <w:bCs/>
          <w:sz w:val="24"/>
        </w:rPr>
      </w:pPr>
      <w:r>
        <w:rPr>
          <w:rFonts w:hint="eastAsia" w:ascii="宋体" w:hAnsi="宋体"/>
          <w:bCs/>
          <w:sz w:val="24"/>
        </w:rPr>
        <w:t>根据我中心的工作需求，拟就广西融合视频会议系统项目工程监理服务采购进行询价，按照《中华人民共和国政府采购法》等有关规定要求，本着公开、公平、公正的原则，邀请符合条件且有意向承接该项工作的供应商参加。</w:t>
      </w:r>
    </w:p>
    <w:p>
      <w:pPr>
        <w:spacing w:line="400" w:lineRule="exact"/>
        <w:ind w:firstLine="482" w:firstLineChars="200"/>
        <w:jc w:val="left"/>
        <w:rPr>
          <w:rFonts w:ascii="宋体" w:hAnsi="宋体"/>
          <w:bCs/>
          <w:sz w:val="24"/>
        </w:rPr>
      </w:pPr>
      <w:r>
        <w:rPr>
          <w:rFonts w:hint="eastAsia" w:ascii="宋体" w:hAnsi="宋体"/>
          <w:b/>
          <w:sz w:val="24"/>
        </w:rPr>
        <w:t>一、采购项目名称：</w:t>
      </w:r>
      <w:r>
        <w:rPr>
          <w:rFonts w:hint="eastAsia" w:ascii="宋体" w:hAnsi="宋体"/>
          <w:bCs/>
          <w:sz w:val="24"/>
        </w:rPr>
        <w:t>广西融合视频会议系统项目工程监理服务。</w:t>
      </w:r>
    </w:p>
    <w:p>
      <w:pPr>
        <w:pStyle w:val="89"/>
        <w:ind w:firstLine="480"/>
        <w:rPr>
          <w:rFonts w:ascii="宋体" w:hAnsi="宋体"/>
        </w:rPr>
      </w:pPr>
      <w:r>
        <w:rPr>
          <w:rFonts w:hint="eastAsia" w:ascii="宋体" w:hAnsi="宋体"/>
          <w:b/>
          <w:bCs w:val="0"/>
        </w:rPr>
        <w:t>二、采购项目的名称、数量、简要规格描述或项目基本概况介绍：</w:t>
      </w:r>
      <w:r>
        <w:rPr>
          <w:rFonts w:hint="eastAsia" w:ascii="宋体" w:hAnsi="宋体"/>
        </w:rPr>
        <w:t>广西融合视频会议系统项目工程监理服务1项，具体要求详见采购文件</w:t>
      </w:r>
    </w:p>
    <w:p>
      <w:pPr>
        <w:pStyle w:val="89"/>
        <w:ind w:firstLine="480"/>
        <w:rPr>
          <w:rFonts w:ascii="宋体" w:hAnsi="宋体"/>
          <w:b/>
        </w:rPr>
      </w:pPr>
      <w:r>
        <w:rPr>
          <w:rFonts w:hint="eastAsia" w:ascii="宋体" w:hAnsi="宋体"/>
          <w:b/>
        </w:rPr>
        <w:t>三、采购预算金额（人民币）：</w:t>
      </w:r>
      <w:r>
        <w:rPr>
          <w:rFonts w:hint="eastAsia" w:ascii="宋体" w:hAnsi="宋体"/>
          <w:bCs w:val="0"/>
          <w:u w:val="single"/>
        </w:rPr>
        <w:t>壹拾玖万玖仟捌佰元整（￥199800.00）</w:t>
      </w:r>
      <w:r>
        <w:rPr>
          <w:rFonts w:hint="eastAsia" w:ascii="宋体" w:hAnsi="宋体"/>
          <w:bCs w:val="0"/>
        </w:rPr>
        <w:t xml:space="preserve">。 </w:t>
      </w:r>
      <w:r>
        <w:rPr>
          <w:rFonts w:hint="eastAsia" w:ascii="宋体" w:hAnsi="宋体"/>
          <w:b/>
        </w:rPr>
        <w:t xml:space="preserve">   </w:t>
      </w:r>
    </w:p>
    <w:p>
      <w:pPr>
        <w:spacing w:line="400" w:lineRule="exact"/>
        <w:ind w:firstLine="482" w:firstLineChars="200"/>
        <w:jc w:val="left"/>
        <w:rPr>
          <w:rFonts w:ascii="宋体" w:hAnsi="宋体"/>
          <w:b/>
          <w:sz w:val="24"/>
        </w:rPr>
      </w:pPr>
      <w:r>
        <w:rPr>
          <w:rFonts w:hint="eastAsia" w:ascii="宋体" w:hAnsi="宋体"/>
          <w:b/>
          <w:sz w:val="24"/>
        </w:rPr>
        <w:t>四、供应商资格要求：</w:t>
      </w:r>
    </w:p>
    <w:p>
      <w:pPr>
        <w:spacing w:line="400" w:lineRule="exact"/>
        <w:ind w:firstLine="480" w:firstLineChars="200"/>
        <w:jc w:val="left"/>
        <w:rPr>
          <w:rFonts w:ascii="宋体" w:hAnsi="宋体"/>
          <w:bCs/>
          <w:sz w:val="24"/>
        </w:rPr>
      </w:pPr>
      <w:r>
        <w:rPr>
          <w:rFonts w:hint="eastAsia" w:ascii="宋体" w:hAnsi="宋体"/>
          <w:bCs/>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bCs/>
          <w:sz w:val="24"/>
        </w:rPr>
        <w:t>2.国内注册（指按国家有关规定要求注册的），提供本次采购服务，具备独立法人资格。</w:t>
      </w:r>
    </w:p>
    <w:p>
      <w:pPr>
        <w:spacing w:line="400" w:lineRule="exact"/>
        <w:ind w:firstLine="480" w:firstLineChars="200"/>
        <w:jc w:val="left"/>
        <w:rPr>
          <w:rFonts w:ascii="宋体" w:hAnsi="宋体"/>
          <w:bCs/>
          <w:sz w:val="24"/>
        </w:rPr>
      </w:pPr>
      <w:r>
        <w:rPr>
          <w:rFonts w:hint="eastAsia" w:ascii="宋体" w:hAnsi="宋体"/>
          <w:bCs/>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sz w:val="24"/>
        </w:rPr>
      </w:pPr>
      <w:r>
        <w:rPr>
          <w:rFonts w:hint="eastAsia" w:ascii="宋体" w:hAnsi="宋体"/>
          <w:bCs/>
          <w:sz w:val="24"/>
        </w:rPr>
        <w:t>4.本项目不接受联合体报价。</w:t>
      </w:r>
    </w:p>
    <w:p>
      <w:pPr>
        <w:spacing w:line="400" w:lineRule="exact"/>
        <w:ind w:firstLine="480" w:firstLineChars="200"/>
        <w:jc w:val="left"/>
        <w:rPr>
          <w:rFonts w:hint="eastAsia" w:ascii="宋体" w:hAnsi="宋体"/>
          <w:b/>
          <w:bCs w:val="0"/>
          <w:sz w:val="24"/>
        </w:rPr>
      </w:pPr>
      <w:r>
        <w:rPr>
          <w:rFonts w:hint="eastAsia" w:ascii="宋体" w:hAnsi="宋体"/>
          <w:b/>
          <w:bCs w:val="0"/>
          <w:sz w:val="24"/>
        </w:rPr>
        <w:t>五、需报送材料：</w:t>
      </w:r>
    </w:p>
    <w:p>
      <w:pPr>
        <w:spacing w:line="400" w:lineRule="exact"/>
        <w:ind w:firstLine="480" w:firstLineChars="200"/>
        <w:jc w:val="left"/>
        <w:rPr>
          <w:rFonts w:hint="eastAsia" w:ascii="宋体" w:hAnsi="宋体"/>
          <w:bCs/>
          <w:sz w:val="24"/>
        </w:rPr>
      </w:pPr>
      <w:r>
        <w:rPr>
          <w:rFonts w:hint="eastAsia" w:ascii="宋体" w:hAnsi="宋体"/>
          <w:bCs/>
          <w:sz w:val="24"/>
        </w:rPr>
        <w:t>1.响应文件；</w:t>
      </w:r>
    </w:p>
    <w:p>
      <w:pPr>
        <w:spacing w:line="400" w:lineRule="exact"/>
        <w:ind w:firstLine="480" w:firstLineChars="200"/>
        <w:jc w:val="left"/>
      </w:pPr>
      <w:r>
        <w:rPr>
          <w:rFonts w:hint="eastAsia" w:ascii="宋体" w:hAnsi="宋体"/>
          <w:bCs/>
          <w:sz w:val="24"/>
        </w:rPr>
        <w:t>2.报价人单位联系人姓名及联系方式。</w:t>
      </w:r>
    </w:p>
    <w:p>
      <w:pPr>
        <w:spacing w:line="400" w:lineRule="exact"/>
        <w:ind w:firstLine="482" w:firstLineChars="200"/>
        <w:jc w:val="left"/>
        <w:rPr>
          <w:rFonts w:ascii="宋体" w:hAnsi="宋体"/>
          <w:b/>
          <w:sz w:val="24"/>
        </w:rPr>
      </w:pPr>
      <w:r>
        <w:rPr>
          <w:rFonts w:hint="eastAsia" w:ascii="宋体" w:hAnsi="宋体"/>
          <w:b/>
          <w:sz w:val="24"/>
        </w:rPr>
        <w:t>六、响应文件递交截止时间和地点：</w:t>
      </w:r>
    </w:p>
    <w:p>
      <w:pPr>
        <w:spacing w:line="400" w:lineRule="exact"/>
        <w:ind w:firstLine="480" w:firstLineChars="200"/>
        <w:jc w:val="left"/>
        <w:rPr>
          <w:rFonts w:ascii="宋体" w:hAnsi="宋体"/>
          <w:bCs/>
          <w:sz w:val="24"/>
        </w:rPr>
      </w:pPr>
      <w:r>
        <w:rPr>
          <w:rFonts w:hint="eastAsia" w:ascii="宋体" w:hAnsi="宋体"/>
          <w:bCs/>
          <w:sz w:val="24"/>
        </w:rPr>
        <w:t>供应商应于</w:t>
      </w:r>
      <w:r>
        <w:rPr>
          <w:rFonts w:hint="eastAsia" w:ascii="宋体" w:hAnsi="宋体"/>
          <w:bCs/>
          <w:sz w:val="24"/>
          <w:highlight w:val="yellow"/>
        </w:rPr>
        <w:t>2023年11月24日18:00前</w:t>
      </w:r>
      <w:r>
        <w:rPr>
          <w:rFonts w:hint="eastAsia" w:ascii="宋体" w:hAnsi="宋体"/>
          <w:bCs/>
          <w:sz w:val="24"/>
        </w:rPr>
        <w:t>，将响应文件密封提交或邮寄到广西壮族自治区信息中心，逾期送达的将予以拒收（或作无效响应文件处理）。</w:t>
      </w:r>
    </w:p>
    <w:p>
      <w:pPr>
        <w:spacing w:line="400" w:lineRule="exact"/>
        <w:ind w:firstLine="482" w:firstLineChars="200"/>
        <w:jc w:val="left"/>
        <w:rPr>
          <w:rFonts w:ascii="宋体" w:hAnsi="宋体"/>
          <w:b/>
          <w:sz w:val="24"/>
        </w:rPr>
      </w:pPr>
      <w:r>
        <w:rPr>
          <w:rFonts w:hint="eastAsia" w:ascii="宋体" w:hAnsi="宋体"/>
          <w:b/>
          <w:sz w:val="24"/>
          <w:lang w:val="en-US" w:eastAsia="zh-CN"/>
        </w:rPr>
        <w:t>七</w:t>
      </w:r>
      <w:r>
        <w:rPr>
          <w:rFonts w:hint="eastAsia" w:ascii="宋体" w:hAnsi="宋体"/>
          <w:b/>
          <w:sz w:val="24"/>
        </w:rPr>
        <w:t>、联系方式及通讯地址：</w:t>
      </w:r>
    </w:p>
    <w:p>
      <w:pPr>
        <w:spacing w:line="400" w:lineRule="exact"/>
        <w:ind w:firstLine="480" w:firstLineChars="200"/>
        <w:jc w:val="left"/>
        <w:rPr>
          <w:rFonts w:ascii="宋体" w:hAnsi="宋体"/>
          <w:bCs/>
          <w:sz w:val="24"/>
        </w:rPr>
      </w:pPr>
      <w:r>
        <w:rPr>
          <w:rFonts w:ascii="宋体" w:hAnsi="宋体"/>
          <w:bCs/>
          <w:sz w:val="24"/>
        </w:rPr>
        <w:t>1.</w:t>
      </w:r>
      <w:r>
        <w:rPr>
          <w:rFonts w:hint="eastAsia" w:ascii="宋体" w:hAnsi="宋体"/>
          <w:bCs/>
          <w:sz w:val="24"/>
        </w:rPr>
        <w:t>联系人：</w:t>
      </w:r>
      <w:r>
        <w:rPr>
          <w:rFonts w:ascii="宋体" w:hAnsi="宋体"/>
          <w:bCs/>
          <w:color w:val="000000"/>
          <w:sz w:val="24"/>
        </w:rPr>
        <w:t>韦宝</w:t>
      </w:r>
      <w:r>
        <w:rPr>
          <w:rFonts w:ascii="宋体" w:hAnsi="宋体"/>
          <w:bCs/>
          <w:sz w:val="24"/>
        </w:rPr>
        <w:t>  </w:t>
      </w:r>
      <w:r>
        <w:rPr>
          <w:rFonts w:hint="eastAsia" w:ascii="宋体" w:hAnsi="宋体"/>
          <w:bCs/>
          <w:sz w:val="24"/>
        </w:rPr>
        <w:t>联系电话：</w:t>
      </w:r>
      <w:r>
        <w:rPr>
          <w:rFonts w:ascii="宋体" w:hAnsi="宋体"/>
          <w:bCs/>
          <w:color w:val="000000"/>
          <w:sz w:val="24"/>
        </w:rPr>
        <w:t>0771-6113503</w:t>
      </w:r>
    </w:p>
    <w:p>
      <w:pPr>
        <w:spacing w:line="400" w:lineRule="exact"/>
        <w:rPr>
          <w:rFonts w:hint="eastAsia" w:ascii="宋体" w:hAnsi="宋体"/>
          <w:bCs/>
          <w:sz w:val="24"/>
        </w:rPr>
      </w:pPr>
      <w:r>
        <w:rPr>
          <w:rFonts w:hint="eastAsia" w:ascii="宋体" w:hAnsi="宋体"/>
          <w:bCs/>
          <w:sz w:val="24"/>
        </w:rPr>
        <w:t>2.通讯地址：南宁市良庆区体强路18号16楼1608号房，邮编：530221。</w:t>
      </w:r>
    </w:p>
    <w:p>
      <w:pPr>
        <w:spacing w:line="400" w:lineRule="exact"/>
        <w:rPr>
          <w:rFonts w:hint="eastAsia" w:ascii="宋体" w:hAnsi="宋体"/>
          <w:bCs/>
          <w:sz w:val="24"/>
        </w:rPr>
      </w:pPr>
    </w:p>
    <w:p>
      <w:pPr>
        <w:spacing w:line="400" w:lineRule="exact"/>
        <w:rPr>
          <w:rFonts w:hint="eastAsia" w:ascii="宋体" w:hAnsi="宋体"/>
          <w:bCs/>
          <w:sz w:val="24"/>
        </w:rPr>
      </w:pPr>
      <w:r>
        <w:rPr>
          <w:rFonts w:hint="eastAsia" w:ascii="宋体" w:hAnsi="宋体"/>
          <w:bCs/>
          <w:sz w:val="24"/>
          <w:lang w:eastAsia="zh-CN"/>
        </w:rPr>
        <w:t>　　</w:t>
      </w:r>
      <w:r>
        <w:rPr>
          <w:rFonts w:hint="eastAsia" w:ascii="宋体" w:hAnsi="宋体"/>
          <w:bCs/>
          <w:sz w:val="24"/>
        </w:rPr>
        <w:t>附件：项目采购文件</w:t>
      </w:r>
    </w:p>
    <w:p>
      <w:pPr>
        <w:spacing w:line="400" w:lineRule="exact"/>
        <w:rPr>
          <w:rFonts w:ascii="宋体" w:hAnsi="宋体"/>
          <w:bCs/>
          <w:sz w:val="24"/>
        </w:rPr>
      </w:pPr>
      <w:r>
        <w:rPr>
          <w:rFonts w:hint="eastAsia" w:ascii="宋体" w:hAnsi="宋体"/>
          <w:sz w:val="24"/>
        </w:rPr>
        <w:t xml:space="preserve">                                      </w:t>
      </w:r>
      <w:bookmarkStart w:id="31" w:name="_GoBack"/>
      <w:bookmarkEnd w:id="31"/>
      <w:r>
        <w:rPr>
          <w:rFonts w:hint="eastAsia" w:ascii="宋体" w:hAnsi="宋体"/>
          <w:sz w:val="24"/>
        </w:rPr>
        <w:t xml:space="preserve">                  </w:t>
      </w:r>
      <w:r>
        <w:rPr>
          <w:rFonts w:ascii="宋体" w:hAnsi="宋体"/>
          <w:bCs/>
          <w:sz w:val="24"/>
        </w:rPr>
        <w:t>广西壮族自治区信息中心</w:t>
      </w:r>
    </w:p>
    <w:p>
      <w:pPr>
        <w:spacing w:line="400" w:lineRule="exact"/>
        <w:ind w:firstLine="7320" w:firstLineChars="3050"/>
        <w:jc w:val="left"/>
        <w:rPr>
          <w:rFonts w:ascii="微软雅黑" w:hAnsi="微软雅黑" w:eastAsia="微软雅黑" w:cs="宋体"/>
          <w:kern w:val="0"/>
          <w:sz w:val="37"/>
          <w:szCs w:val="37"/>
        </w:rPr>
      </w:pPr>
      <w:r>
        <w:rPr>
          <w:rFonts w:ascii="宋体" w:hAnsi="宋体"/>
          <w:bCs/>
          <w:sz w:val="24"/>
        </w:rPr>
        <w:t>202</w:t>
      </w:r>
      <w:r>
        <w:rPr>
          <w:rFonts w:hint="eastAsia" w:ascii="宋体" w:hAnsi="宋体"/>
          <w:bCs/>
          <w:sz w:val="24"/>
        </w:rPr>
        <w:t>3</w:t>
      </w:r>
      <w:r>
        <w:rPr>
          <w:rFonts w:ascii="宋体" w:hAnsi="宋体"/>
          <w:bCs/>
          <w:sz w:val="24"/>
        </w:rPr>
        <w:t>年</w:t>
      </w:r>
      <w:r>
        <w:rPr>
          <w:rFonts w:hint="eastAsia" w:ascii="宋体" w:hAnsi="宋体"/>
          <w:bCs/>
          <w:sz w:val="24"/>
        </w:rPr>
        <w:t>11</w:t>
      </w:r>
      <w:r>
        <w:rPr>
          <w:rFonts w:ascii="宋体" w:hAnsi="宋体"/>
          <w:bCs/>
          <w:sz w:val="24"/>
        </w:rPr>
        <w:t>月</w:t>
      </w:r>
      <w:r>
        <w:rPr>
          <w:rFonts w:hint="eastAsia" w:ascii="宋体" w:hAnsi="宋体"/>
          <w:bCs/>
          <w:sz w:val="24"/>
          <w:lang w:val="en-US" w:eastAsia="zh-CN"/>
        </w:rPr>
        <w:t>19</w:t>
      </w:r>
      <w:r>
        <w:rPr>
          <w:rFonts w:ascii="宋体" w:hAnsi="宋体"/>
          <w:bCs/>
          <w:sz w:val="24"/>
        </w:rPr>
        <w:t>日</w:t>
      </w:r>
      <w:r>
        <w:rPr>
          <w:rFonts w:hint="eastAsia" w:ascii="宋体" w:hAnsi="宋体"/>
          <w:bCs/>
          <w:sz w:val="24"/>
          <w:lang w:val="en-US" w:eastAsia="zh-CN"/>
        </w:rPr>
        <w:t xml:space="preserve">  </w:t>
      </w:r>
      <w:r>
        <w:rPr>
          <w:rFonts w:ascii="宋体" w:hAnsi="宋体"/>
          <w:bCs/>
          <w:sz w:val="24"/>
        </w:rPr>
        <w:t>   </w:t>
      </w:r>
      <w:r>
        <w:rPr>
          <w:rFonts w:ascii="Arial" w:hAnsi="Arial" w:eastAsia="微软雅黑" w:cs="Arial"/>
          <w:kern w:val="0"/>
          <w:sz w:val="30"/>
          <w:szCs w:val="30"/>
        </w:rPr>
        <w:t>                                                      </w:t>
      </w:r>
    </w:p>
    <w:p>
      <w:pPr>
        <w:spacing w:line="500" w:lineRule="exact"/>
        <w:ind w:left="1080"/>
        <w:jc w:val="center"/>
        <w:rPr>
          <w:rFonts w:ascii="宋体" w:hAnsi="宋体"/>
          <w:b/>
          <w:sz w:val="32"/>
          <w:szCs w:val="32"/>
        </w:rPr>
      </w:pPr>
      <w:r>
        <w:rPr>
          <w:rFonts w:ascii="宋体" w:hAnsi="宋体"/>
          <w:b/>
          <w:sz w:val="28"/>
          <w:szCs w:val="32"/>
        </w:rPr>
        <w:br w:type="page"/>
      </w: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供应商须知及前附表</w:t>
      </w:r>
    </w:p>
    <w:p>
      <w:pPr>
        <w:spacing w:line="400" w:lineRule="exact"/>
        <w:jc w:val="center"/>
        <w:rPr>
          <w:rFonts w:ascii="宋体" w:hAnsi="宋体"/>
          <w:b/>
          <w:sz w:val="24"/>
        </w:rPr>
      </w:pPr>
      <w:r>
        <w:rPr>
          <w:rFonts w:hint="eastAsia" w:ascii="宋体" w:hAnsi="宋体"/>
          <w:b/>
          <w:sz w:val="24"/>
        </w:rPr>
        <w:t>供应商须知前附表</w:t>
      </w:r>
    </w:p>
    <w:tbl>
      <w:tblPr>
        <w:tblStyle w:val="37"/>
        <w:tblW w:w="9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rPr>
              <w:t>广西融合视频会议系统项目工程监理服务。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jc w:val="left"/>
            </w:pPr>
            <w:r>
              <w:rPr>
                <w:rFonts w:hint="eastAsia"/>
              </w:rPr>
              <w:t>供应商资格及要求：</w:t>
            </w:r>
          </w:p>
          <w:p>
            <w:pPr>
              <w:spacing w:line="360" w:lineRule="exact"/>
              <w:jc w:val="left"/>
            </w:pPr>
            <w:r>
              <w:rPr>
                <w:rFonts w:hint="eastAsia"/>
              </w:rPr>
              <w:t>1.符合《中华人民共和国政府采购法》第二十二条规定的供应商资格条件。</w:t>
            </w:r>
          </w:p>
          <w:p>
            <w:pPr>
              <w:spacing w:line="360" w:lineRule="exact"/>
              <w:jc w:val="left"/>
            </w:pPr>
            <w:r>
              <w:rPr>
                <w:rFonts w:hint="eastAsia"/>
              </w:rPr>
              <w:t>2.国内注册（指按国家有关规定要求注册的），提供本次采购服务，具备独立法人资格。</w:t>
            </w:r>
          </w:p>
          <w:p>
            <w:pPr>
              <w:spacing w:line="360" w:lineRule="exact"/>
              <w:jc w:val="left"/>
            </w:pPr>
            <w:r>
              <w:rPr>
                <w:rFonts w:hint="eastAsia"/>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pPr>
            <w:r>
              <w:rPr>
                <w:rFonts w:hint="eastAsia"/>
              </w:rPr>
              <w:t>4.本项目不接受联合体报价。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1.供应商必须就《服务需求》中的所有内容作完整唯一报价，否则报价将被拒绝。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4.供应商</w:t>
            </w:r>
            <w:r>
              <w:rPr>
                <w:rFonts w:hint="eastAsia" w:ascii="宋体" w:hAnsi="宋体" w:cs="宋体"/>
                <w:bCs/>
                <w:sz w:val="24"/>
              </w:rPr>
              <w:t>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rPr>
              <w:t>响应文件递交截止时间：</w:t>
            </w:r>
            <w:r>
              <w:rPr>
                <w:rFonts w:hint="eastAsia" w:ascii="宋体" w:hAnsi="宋体"/>
                <w:sz w:val="24"/>
                <w:highlight w:val="yellow"/>
              </w:rPr>
              <w:t>2023年11月24日18时00分</w:t>
            </w:r>
            <w:r>
              <w:rPr>
                <w:rFonts w:hint="eastAsia" w:ascii="宋体" w:hAnsi="宋体" w:cs="宋体"/>
                <w:sz w:val="24"/>
                <w:highlight w:val="yellow"/>
              </w:rPr>
              <w:t>。</w:t>
            </w:r>
          </w:p>
          <w:p>
            <w:pPr>
              <w:spacing w:line="360" w:lineRule="exact"/>
              <w:rPr>
                <w:rFonts w:ascii="宋体" w:hAnsi="宋体" w:cs="宋体"/>
                <w:sz w:val="24"/>
              </w:rPr>
            </w:pPr>
            <w:r>
              <w:rPr>
                <w:rFonts w:hint="eastAsia" w:ascii="宋体" w:hAnsi="宋体" w:cs="宋体"/>
                <w:sz w:val="24"/>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本项目采购预算价为：壹拾玖万玖仟捌佰元整</w:t>
            </w:r>
            <w:r>
              <w:rPr>
                <w:rFonts w:hint="eastAsia" w:ascii="宋体" w:hAnsi="宋体" w:cs="宋体"/>
                <w:bCs/>
                <w:sz w:val="24"/>
              </w:rPr>
              <w:t>（￥199800.00）</w:t>
            </w:r>
            <w:r>
              <w:rPr>
                <w:rFonts w:hint="eastAsia" w:ascii="宋体" w:hAnsi="宋体" w:cs="宋体"/>
                <w:b/>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w:t>
            </w:r>
            <w:r>
              <w:rPr>
                <w:rFonts w:hint="eastAsia" w:ascii="宋体" w:hAnsi="宋体"/>
                <w:bCs/>
                <w:sz w:val="24"/>
              </w:rPr>
              <w:t>供应商</w:t>
            </w:r>
            <w:r>
              <w:rPr>
                <w:rFonts w:hint="eastAsia" w:ascii="宋体" w:hAnsi="宋体" w:cs="宋体"/>
                <w:sz w:val="24"/>
              </w:rPr>
              <w:t>的“公章”是指根据我国对公章的管理规定，用供应商法定主体行为名称制作的印章，除本采购文件有特殊规定外，</w:t>
            </w:r>
            <w:r>
              <w:rPr>
                <w:rFonts w:hint="eastAsia" w:ascii="宋体" w:hAnsi="宋体"/>
                <w:bCs/>
                <w:sz w:val="24"/>
              </w:rPr>
              <w:t>供应商</w:t>
            </w:r>
            <w:r>
              <w:rPr>
                <w:rFonts w:hint="eastAsia" w:ascii="宋体" w:hAnsi="宋体" w:cs="宋体"/>
                <w:sz w:val="24"/>
              </w:rPr>
              <w:t>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w:t>
            </w:r>
            <w:r>
              <w:rPr>
                <w:rFonts w:hint="eastAsia" w:ascii="宋体" w:hAnsi="宋体"/>
                <w:bCs/>
                <w:sz w:val="24"/>
              </w:rPr>
              <w:t>供应商</w:t>
            </w:r>
            <w:r>
              <w:rPr>
                <w:rFonts w:hint="eastAsia" w:ascii="宋体" w:hAnsi="宋体" w:cs="宋体"/>
                <w:sz w:val="24"/>
              </w:rPr>
              <w:t>的“签字”是指供应商的法定代表人（负责人）或授权委托代理人亲自在采购文件规定签署处亲笔写上个人的名字的行为，私章、签字章、印鉴、影印等其它形式均不能代替亲笔签字。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8"/>
          <w:szCs w:val="32"/>
        </w:rPr>
        <w:sectPr>
          <w:footerReference r:id="rId7" w:type="first"/>
          <w:headerReference r:id="rId3" w:type="default"/>
          <w:footerReference r:id="rId5" w:type="default"/>
          <w:headerReference r:id="rId4" w:type="even"/>
          <w:footerReference r:id="rId6" w:type="even"/>
          <w:pgSz w:w="11906" w:h="16838"/>
          <w:pgMar w:top="1134" w:right="1134" w:bottom="1134" w:left="1134" w:header="851" w:footer="851" w:gutter="0"/>
          <w:cols w:space="720" w:num="1"/>
          <w:titlePg/>
          <w:docGrid w:linePitch="312" w:charSpace="0"/>
        </w:sectPr>
      </w:pPr>
    </w:p>
    <w:p>
      <w:pPr>
        <w:spacing w:before="48" w:beforeLines="20" w:after="48" w:afterLines="20" w:line="400" w:lineRule="exact"/>
        <w:jc w:val="center"/>
        <w:rPr>
          <w:rFonts w:ascii="宋体" w:hAnsi="宋体"/>
          <w:b/>
          <w:sz w:val="32"/>
          <w:szCs w:val="32"/>
        </w:rPr>
      </w:pPr>
      <w:r>
        <w:rPr>
          <w:rFonts w:hint="eastAsia" w:ascii="宋体" w:hAnsi="宋体"/>
          <w:b/>
          <w:sz w:val="28"/>
          <w:szCs w:val="32"/>
        </w:rPr>
        <w:t>供应商须知</w:t>
      </w:r>
    </w:p>
    <w:p>
      <w:pPr>
        <w:pStyle w:val="17"/>
        <w:snapToGrid w:val="0"/>
        <w:spacing w:before="48" w:beforeLines="20" w:after="48" w:afterLines="20" w:line="400" w:lineRule="exact"/>
        <w:jc w:val="center"/>
        <w:rPr>
          <w:rFonts w:hAnsi="宋体" w:cs="宋体"/>
          <w:b/>
          <w:sz w:val="24"/>
          <w:szCs w:val="24"/>
        </w:rPr>
      </w:pPr>
      <w:r>
        <w:rPr>
          <w:rFonts w:hint="eastAsia" w:hAnsi="宋体" w:cs="宋体"/>
          <w:b/>
          <w:sz w:val="24"/>
          <w:szCs w:val="24"/>
        </w:rPr>
        <w:t>一、总　则</w:t>
      </w:r>
    </w:p>
    <w:p>
      <w:pPr>
        <w:spacing w:line="400" w:lineRule="exact"/>
        <w:ind w:firstLine="480" w:firstLineChars="200"/>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w:t>
      </w:r>
      <w:r>
        <w:rPr>
          <w:rFonts w:hint="eastAsia" w:ascii="宋体" w:hAnsi="宋体"/>
          <w:bCs/>
          <w:sz w:val="24"/>
        </w:rPr>
        <w:t>广西融合视频会议系统项目工程监理服务</w:t>
      </w:r>
      <w:r>
        <w:rPr>
          <w:rFonts w:hint="eastAsia" w:ascii="宋体" w:hAnsi="宋体" w:cs="宋体"/>
          <w:sz w:val="24"/>
        </w:rPr>
        <w:t>”项目采购。</w:t>
      </w:r>
    </w:p>
    <w:p>
      <w:pPr>
        <w:spacing w:line="400" w:lineRule="exact"/>
        <w:ind w:firstLine="480" w:firstLineChars="200"/>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 。</w:t>
      </w:r>
    </w:p>
    <w:p>
      <w:pPr>
        <w:spacing w:line="400" w:lineRule="exact"/>
        <w:ind w:firstLine="480" w:firstLineChars="200"/>
        <w:rPr>
          <w:rFonts w:ascii="宋体" w:hAnsi="宋体" w:cs="宋体"/>
          <w:sz w:val="24"/>
        </w:rPr>
      </w:pPr>
      <w:r>
        <w:rPr>
          <w:rFonts w:hint="eastAsia" w:ascii="宋体" w:hAnsi="宋体" w:cs="宋体"/>
          <w:sz w:val="24"/>
        </w:rPr>
        <w:t>2.2“供应商”系指符合本次采购项目的提交响应文件的、参与报价的单位或自然人。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rPr>
          <w:rFonts w:ascii="宋体" w:hAnsi="宋体" w:cs="宋体"/>
          <w:sz w:val="24"/>
        </w:rPr>
      </w:pPr>
      <w:r>
        <w:rPr>
          <w:rFonts w:hint="eastAsia" w:ascii="宋体" w:hAnsi="宋体" w:cs="宋体"/>
          <w:sz w:val="24"/>
        </w:rPr>
        <w:t>3.供应商的基本条件</w:t>
      </w:r>
    </w:p>
    <w:p>
      <w:pPr>
        <w:spacing w:line="400" w:lineRule="exact"/>
        <w:ind w:firstLine="480" w:firstLineChars="200"/>
        <w:jc w:val="left"/>
        <w:rPr>
          <w:rFonts w:ascii="宋体" w:hAnsi="宋体" w:cs="宋体"/>
          <w:sz w:val="24"/>
        </w:rPr>
      </w:pPr>
      <w:r>
        <w:rPr>
          <w:rFonts w:hint="eastAsia" w:ascii="宋体" w:hAnsi="宋体" w:cs="宋体"/>
          <w:sz w:val="24"/>
        </w:rPr>
        <w:t>3.1 供应商资格及要求：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rPr>
          <w:rFonts w:ascii="宋体" w:hAnsi="宋体" w:cs="宋体"/>
          <w:kern w:val="0"/>
          <w:sz w:val="24"/>
        </w:rPr>
      </w:pPr>
      <w:r>
        <w:rPr>
          <w:rFonts w:hint="eastAsia" w:ascii="宋体" w:hAnsi="宋体" w:cs="宋体"/>
          <w:kern w:val="0"/>
          <w:sz w:val="24"/>
        </w:rPr>
        <w:t>（2）国内注册（指按国家有关规定要求注册的），提供本次采购服务，具备独立法人资格。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pStyle w:val="89"/>
        <w:ind w:firstLine="570"/>
      </w:pPr>
      <w:r>
        <w:rPr>
          <w:rFonts w:hint="eastAsia" w:ascii="宋体" w:hAnsi="宋体" w:cs="宋体"/>
        </w:rPr>
        <w:t>(4）本项目不接受联合体报价。</w:t>
      </w:r>
    </w:p>
    <w:p>
      <w:pPr>
        <w:spacing w:line="400" w:lineRule="exact"/>
        <w:ind w:firstLine="480" w:firstLineChars="200"/>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供应商应自行承担所有与编写和提交报价文件有关的费用，不论采购结果如何，采购人在任何情况下无义务和责任承担此类费用。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6.2本项目不可以分包。</w:t>
      </w:r>
    </w:p>
    <w:p>
      <w:pPr>
        <w:widowControl/>
        <w:spacing w:line="400" w:lineRule="exact"/>
        <w:ind w:firstLine="482" w:firstLineChars="200"/>
        <w:jc w:val="left"/>
        <w:rPr>
          <w:rFonts w:ascii="宋体" w:hAnsi="宋体" w:cs="宋体"/>
          <w:sz w:val="24"/>
        </w:rPr>
      </w:pPr>
      <w:bookmarkStart w:id="0" w:name="_Toc254970533"/>
      <w:bookmarkStart w:id="1" w:name="_Toc254970674"/>
      <w:r>
        <w:rPr>
          <w:rFonts w:hint="eastAsia" w:hAnsi="宋体" w:cs="宋体"/>
          <w:b/>
          <w:bCs/>
          <w:sz w:val="24"/>
        </w:rPr>
        <w:t>7.</w:t>
      </w:r>
      <w:bookmarkEnd w:id="0"/>
      <w:bookmarkEnd w:id="1"/>
      <w:bookmarkStart w:id="2" w:name="_Toc254970532"/>
      <w:bookmarkStart w:id="3" w:name="_Toc254970673"/>
      <w:r>
        <w:rPr>
          <w:rFonts w:hint="eastAsia" w:hAnsi="宋体" w:cs="宋体"/>
          <w:b/>
          <w:sz w:val="24"/>
        </w:rPr>
        <w:t>特别说明：</w:t>
      </w:r>
      <w:bookmarkEnd w:id="2"/>
      <w:bookmarkEnd w:id="3"/>
    </w:p>
    <w:p>
      <w:pPr>
        <w:widowControl/>
        <w:spacing w:line="400" w:lineRule="exact"/>
        <w:ind w:firstLine="480" w:firstLineChars="200"/>
        <w:jc w:val="left"/>
        <w:rPr>
          <w:rFonts w:ascii="宋体" w:hAnsi="宋体" w:cs="宋体"/>
          <w:kern w:val="0"/>
          <w:sz w:val="24"/>
        </w:rPr>
      </w:pPr>
      <w:r>
        <w:rPr>
          <w:rFonts w:hint="eastAsia" w:ascii="宋体" w:hAnsi="宋体" w:cs="宋体"/>
          <w:sz w:val="24"/>
        </w:rPr>
        <w:t>7.1</w:t>
      </w:r>
      <w:r>
        <w:rPr>
          <w:rFonts w:hint="eastAsia" w:ascii="宋体" w:hAnsi="宋体" w:cs="宋体"/>
          <w:kern w:val="0"/>
          <w:sz w:val="24"/>
        </w:rPr>
        <w:t>多家供应商参加报价，如其中两家或两家以上供应商的</w:t>
      </w:r>
      <w:r>
        <w:rPr>
          <w:rFonts w:hint="eastAsia" w:ascii="宋体" w:hAnsi="宋体" w:cs="宋体"/>
          <w:sz w:val="24"/>
        </w:rPr>
        <w:t>法定代表人（负责人）</w:t>
      </w:r>
      <w:r>
        <w:rPr>
          <w:rFonts w:hint="eastAsia" w:ascii="宋体" w:hAnsi="宋体" w:cs="宋体"/>
          <w:kern w:val="0"/>
          <w:sz w:val="24"/>
        </w:rPr>
        <w:t>为同一人或相互之间存在投资关系且达到控股的，应当按一个供应商认定。评审时，取其中通过资格审查后的报价最低一家为有效供应商；当报价相同时，则以技术标最优一家为有效供应商；均相同时，由评审小组集体讨论后决定。</w:t>
      </w:r>
    </w:p>
    <w:p>
      <w:pPr>
        <w:pStyle w:val="17"/>
        <w:snapToGrid w:val="0"/>
        <w:spacing w:line="400" w:lineRule="exact"/>
        <w:ind w:left="2" w:leftChars="1" w:firstLine="480" w:firstLineChars="200"/>
        <w:rPr>
          <w:rFonts w:hAnsi="宋体" w:cs="宋体"/>
          <w:sz w:val="24"/>
          <w:szCs w:val="24"/>
        </w:rPr>
      </w:pPr>
      <w:r>
        <w:rPr>
          <w:rFonts w:hint="eastAsia" w:hAnsi="宋体" w:cs="宋体"/>
          <w:sz w:val="24"/>
          <w:szCs w:val="24"/>
        </w:rPr>
        <w:t>7.2供应商报价所使用的资格、信誉、荣誉、业绩与企业认证必须为本法人所拥有。供应商报价所使用的采购项目实施人员必须为本法人员工（或必须为本法人或控股公司正式员工）。</w:t>
      </w:r>
    </w:p>
    <w:p>
      <w:pPr>
        <w:pStyle w:val="17"/>
        <w:snapToGrid w:val="0"/>
        <w:spacing w:line="400" w:lineRule="exact"/>
        <w:ind w:left="2" w:leftChars="1" w:firstLine="480" w:firstLineChars="200"/>
        <w:rPr>
          <w:rFonts w:hAnsi="宋体" w:cs="宋体"/>
          <w:sz w:val="24"/>
          <w:szCs w:val="24"/>
        </w:rPr>
      </w:pPr>
      <w:r>
        <w:rPr>
          <w:rFonts w:hint="eastAsia" w:hAnsi="宋体" w:cs="宋体"/>
          <w:sz w:val="24"/>
          <w:szCs w:val="24"/>
        </w:rPr>
        <w:t>7.3供应商应仔细阅读采购文件的所有内容，按照采购文件的要求提交响应文件，并对所提供的全部资料的真实性承担法律责任。</w:t>
      </w:r>
    </w:p>
    <w:p>
      <w:pPr>
        <w:pStyle w:val="17"/>
        <w:snapToGrid w:val="0"/>
        <w:spacing w:line="400" w:lineRule="exact"/>
        <w:ind w:left="2" w:leftChars="1" w:firstLine="480" w:firstLineChars="200"/>
        <w:rPr>
          <w:rFonts w:hAnsi="宋体" w:cs="宋体"/>
          <w:sz w:val="24"/>
          <w:szCs w:val="24"/>
        </w:rPr>
      </w:pPr>
      <w:r>
        <w:rPr>
          <w:rFonts w:hint="eastAsia" w:hAnsi="宋体" w:cs="宋体"/>
          <w:sz w:val="24"/>
          <w:szCs w:val="24"/>
        </w:rPr>
        <w:t>7.4供应商提供任何虚假材料,其报价无效；成交后发现的,成交人须依照《中华人民共和国消费者权益保护法》第49条之规定双倍赔偿采购人，且民事赔偿并不免除违法供应商的行政与刑事责任。</w:t>
      </w:r>
    </w:p>
    <w:p>
      <w:pPr>
        <w:pStyle w:val="17"/>
        <w:snapToGrid w:val="0"/>
        <w:spacing w:before="48" w:beforeLines="20" w:after="48" w:afterLines="20" w:line="400" w:lineRule="exact"/>
        <w:jc w:val="center"/>
        <w:rPr>
          <w:rFonts w:hAnsi="宋体" w:cs="宋体"/>
          <w:b/>
          <w:sz w:val="24"/>
          <w:szCs w:val="24"/>
        </w:rPr>
      </w:pPr>
      <w:r>
        <w:rPr>
          <w:rFonts w:hint="eastAsia" w:hAnsi="宋体" w:cs="宋体"/>
          <w:b/>
          <w:sz w:val="24"/>
          <w:szCs w:val="24"/>
        </w:rPr>
        <w:t>二、采购文件</w:t>
      </w:r>
    </w:p>
    <w:p>
      <w:pPr>
        <w:pStyle w:val="17"/>
        <w:snapToGrid w:val="0"/>
        <w:spacing w:line="400" w:lineRule="exact"/>
        <w:ind w:firstLine="482" w:firstLineChars="200"/>
        <w:rPr>
          <w:rFonts w:hAnsi="宋体" w:cs="宋体"/>
          <w:b/>
          <w:sz w:val="24"/>
          <w:szCs w:val="24"/>
        </w:rPr>
      </w:pPr>
      <w:r>
        <w:rPr>
          <w:rFonts w:hint="eastAsia" w:hAnsi="宋体" w:cs="宋体"/>
          <w:b/>
          <w:sz w:val="24"/>
          <w:szCs w:val="24"/>
        </w:rPr>
        <w:t>8.采购文件构成</w:t>
      </w:r>
    </w:p>
    <w:p>
      <w:pPr>
        <w:pStyle w:val="17"/>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7"/>
        <w:snapToGrid w:val="0"/>
        <w:spacing w:line="400" w:lineRule="exact"/>
        <w:ind w:firstLine="480" w:firstLineChars="200"/>
        <w:rPr>
          <w:rFonts w:hAnsi="宋体" w:cs="宋体"/>
          <w:bCs/>
          <w:sz w:val="24"/>
          <w:szCs w:val="24"/>
        </w:rPr>
      </w:pPr>
      <w:r>
        <w:rPr>
          <w:rFonts w:hint="eastAsia" w:hAnsi="宋体" w:cs="宋体"/>
          <w:bCs/>
          <w:sz w:val="24"/>
          <w:szCs w:val="24"/>
        </w:rPr>
        <w:t>8.2供应商须知及前附表；</w:t>
      </w:r>
    </w:p>
    <w:p>
      <w:pPr>
        <w:pStyle w:val="17"/>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7"/>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7"/>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7"/>
        <w:spacing w:line="400" w:lineRule="exact"/>
        <w:ind w:firstLine="472" w:firstLineChars="196"/>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7"/>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9.1任何要求澄清采购文件的供应商，均应在报价截止时间前1天的正常工作时间内以书面形式通知采购人，同时认定其他澄清方式为无效。采购人将予以正式答复。逾期不提出澄清要求视为对采购文件无异议。</w:t>
      </w:r>
    </w:p>
    <w:p>
      <w:pPr>
        <w:pStyle w:val="17"/>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供应商自行查阅，采购人不进行电话或书面通知。</w:t>
      </w:r>
    </w:p>
    <w:p>
      <w:pPr>
        <w:pStyle w:val="17"/>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供应商查阅公告，其余获取采购文件的供应商自行上网查看公告，但不说明问题的来源。该澄清或修改的内容为采购文件的组成部分。质疑答复公告或变更公告成功发布后将视为供应商收到答疑或补充通知，不需回复确认函。</w:t>
      </w:r>
    </w:p>
    <w:p>
      <w:pPr>
        <w:pStyle w:val="17"/>
        <w:snapToGrid w:val="0"/>
        <w:spacing w:before="48" w:beforeLines="20" w:after="48"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7"/>
        <w:snapToGrid w:val="0"/>
        <w:spacing w:before="48" w:beforeLines="20" w:after="48" w:afterLines="20" w:line="400" w:lineRule="exact"/>
        <w:ind w:firstLine="482" w:firstLineChars="200"/>
        <w:jc w:val="center"/>
        <w:rPr>
          <w:rFonts w:hAnsi="宋体" w:cs="宋体"/>
          <w:b/>
          <w:sz w:val="24"/>
          <w:szCs w:val="24"/>
        </w:rPr>
      </w:pPr>
      <w:r>
        <w:rPr>
          <w:rFonts w:hint="eastAsia" w:hAnsi="宋体" w:cs="宋体"/>
          <w:b/>
          <w:sz w:val="24"/>
          <w:szCs w:val="24"/>
        </w:rPr>
        <w:t>三、响应文件</w:t>
      </w:r>
    </w:p>
    <w:p>
      <w:pPr>
        <w:spacing w:line="400" w:lineRule="exact"/>
        <w:ind w:firstLine="482" w:firstLineChars="200"/>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sz w:val="24"/>
        </w:rPr>
      </w:pPr>
      <w:r>
        <w:rPr>
          <w:rFonts w:hint="eastAsia" w:ascii="宋体" w:hAnsi="宋体" w:cs="宋体"/>
          <w:sz w:val="24"/>
        </w:rPr>
        <w:t>商务部分是证明供应商有资格参加报价和成交后有能力履行服务的文件，这些文件应能满足采购的要求，包括但不限于下列文件，其中加“▲”项目不得有缺失或无效且不允许截标后补正。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▲（1）报价声明书（格式见第五章）；</w:t>
      </w:r>
    </w:p>
    <w:p>
      <w:pPr>
        <w:spacing w:line="400" w:lineRule="exact"/>
        <w:ind w:firstLine="480" w:firstLineChars="200"/>
        <w:rPr>
          <w:rFonts w:ascii="宋体" w:hAnsi="宋体" w:cs="宋体"/>
          <w:sz w:val="24"/>
        </w:rPr>
      </w:pPr>
      <w:r>
        <w:rPr>
          <w:rFonts w:hint="eastAsia" w:ascii="宋体" w:hAnsi="宋体" w:cs="宋体"/>
          <w:sz w:val="24"/>
        </w:rPr>
        <w:t>▲（2）有效的营业执照副本复印件（对于有经营资质要求的，供应商必须提供有效的经营资质证书副本内页复印件；如供应商提供其他服务机构的服务时，还须提供其他服务机构的有效授权书原件）；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sz w:val="24"/>
        </w:rPr>
        <w:t>▲（3）有效的法定代表人（负责人）身份证正反面复印件（如法定代表人（负责人）非中国国籍应提交护照复印件，要求证件有效并与营业执照中的法定代表人（负责人）相符，格式自拟）；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供应商任意连续3个月的有效依法缴纳税费或依法免缴税费的证明（无纳税记录的，应提供由供应商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供应商任意连续3个月的有效依法缴纳社保费的缴费凭证（无缴费记录的，应提供由供应商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1个月供应商为项目实施人员缴纳的社保证明（社保证明必须经供应商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▲（9）供应商参加政府采购活动前3年内在经营活动中没有重大违法记录的书面声明（原件加盖单位公章），以及主体信用记录查询结果截图（加盖供应商单位公章）；</w:t>
      </w:r>
    </w:p>
    <w:p>
      <w:pPr>
        <w:spacing w:line="400" w:lineRule="exact"/>
        <w:ind w:firstLine="480" w:firstLineChars="200"/>
        <w:rPr>
          <w:rFonts w:ascii="宋体" w:hAnsi="宋体" w:cs="宋体"/>
          <w:sz w:val="24"/>
        </w:rPr>
      </w:pPr>
      <w:r>
        <w:rPr>
          <w:rFonts w:hint="eastAsia" w:ascii="宋体" w:hAnsi="宋体" w:cs="宋体"/>
          <w:sz w:val="24"/>
        </w:rPr>
        <w:t>a.信用信息查询渠道：供应商可在“信用中国”网站（www.creditchina.gov.cn）及中国政府采购网（www.ccgp.gov.cn）查询相关供应商主体信用记录；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b.信用信息查询截止时点：相关供应商主体信用记录查询时间应在本项目首次公告至报价截止时间内任意时间有效；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供应商须在上述指定时段内在“信用中国”网站（www.creditchina.gov.cn）及中国政府采购网（www.ccgp.gov.cn）等两个网站查询相关供应商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供应商书面声明及供应商在响应文件中提供的主体信用记录，被列入失信被执行人、重大税收违法案件当事人名单、政府采购严重违法失信行为记录名单及其他不符合《中华人民共和国政府采购法》第二十二条规定条件的供应商，将被拒绝其参与本次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▲（10）商务响应表（格式见第五章）；</w:t>
      </w:r>
    </w:p>
    <w:p>
      <w:pPr>
        <w:spacing w:line="400" w:lineRule="exact"/>
        <w:ind w:firstLine="480" w:firstLineChars="200"/>
        <w:rPr>
          <w:rFonts w:ascii="宋体" w:hAnsi="宋体" w:cs="宋体"/>
          <w:sz w:val="24"/>
        </w:rPr>
      </w:pPr>
      <w:r>
        <w:rPr>
          <w:rFonts w:hint="eastAsia" w:ascii="宋体" w:hAnsi="宋体" w:cs="宋体"/>
          <w:sz w:val="24"/>
        </w:rPr>
        <w:t>▲（11）服务承诺书（格式自拟）；</w:t>
      </w:r>
    </w:p>
    <w:p>
      <w:pPr>
        <w:pStyle w:val="89"/>
        <w:ind w:firstLine="520" w:firstLineChars="200"/>
        <w:rPr>
          <w:rFonts w:ascii="宋体" w:hAnsi="宋体" w:cs="宋体"/>
        </w:rPr>
      </w:pPr>
      <w:r>
        <w:rPr>
          <w:rFonts w:hint="eastAsia" w:ascii="宋体" w:hAnsi="宋体" w:cs="宋体"/>
        </w:rPr>
        <w:t>▲（12）项目实施人员一览表</w:t>
      </w:r>
    </w:p>
    <w:p>
      <w:pPr>
        <w:spacing w:line="400" w:lineRule="exact"/>
        <w:ind w:firstLine="480" w:firstLineChars="200"/>
        <w:rPr>
          <w:rFonts w:ascii="宋体" w:hAnsi="宋体" w:cs="宋体"/>
          <w:sz w:val="24"/>
        </w:rPr>
      </w:pPr>
      <w:r>
        <w:rPr>
          <w:rFonts w:hint="eastAsia" w:ascii="宋体" w:hAnsi="宋体" w:cs="宋体"/>
          <w:sz w:val="24"/>
        </w:rPr>
        <w:t>可作为供应商资信评判的资质证明材料（如有）：</w:t>
      </w:r>
    </w:p>
    <w:p>
      <w:pPr>
        <w:spacing w:line="400" w:lineRule="exact"/>
        <w:ind w:firstLine="720" w:firstLineChars="300"/>
        <w:rPr>
          <w:rFonts w:ascii="宋体" w:hAnsi="宋体" w:cs="宋体"/>
          <w:sz w:val="24"/>
        </w:rPr>
      </w:pPr>
      <w:r>
        <w:rPr>
          <w:rFonts w:hint="eastAsia" w:ascii="宋体" w:hAnsi="宋体" w:cs="宋体"/>
          <w:sz w:val="24"/>
        </w:rPr>
        <w:t>（13）供应商的类似成功案例的业绩证明文件（供应商同类项目实施情况一览表、合同复印件，格式可自拟）；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供应商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▲（2）设计方案（格式自拟）；</w:t>
      </w:r>
    </w:p>
    <w:p>
      <w:pPr>
        <w:pStyle w:val="89"/>
        <w:ind w:firstLine="520" w:firstLineChars="200"/>
      </w:pPr>
      <w:r>
        <w:rPr>
          <w:rFonts w:hint="eastAsia" w:ascii="宋体" w:hAnsi="宋体" w:cs="宋体"/>
        </w:rPr>
        <w:t>▲（3）售后服务方案（格式自拟）；</w:t>
      </w:r>
    </w:p>
    <w:p>
      <w:pPr>
        <w:spacing w:line="400" w:lineRule="exact"/>
        <w:ind w:firstLine="720" w:firstLineChars="300"/>
        <w:rPr>
          <w:rFonts w:ascii="宋体" w:hAnsi="宋体" w:cs="宋体"/>
          <w:sz w:val="24"/>
        </w:rPr>
      </w:pPr>
      <w:r>
        <w:rPr>
          <w:rFonts w:hint="eastAsia" w:ascii="宋体" w:hAnsi="宋体" w:cs="宋体"/>
          <w:sz w:val="24"/>
        </w:rPr>
        <w:t>（4）供应商认为需要提供的其他证明材料（格式自拟）；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rPr>
          <w:rFonts w:ascii="宋体" w:hAnsi="宋体" w:cs="宋体"/>
          <w:sz w:val="24"/>
        </w:rPr>
      </w:pPr>
      <w:r>
        <w:rPr>
          <w:rFonts w:hint="eastAsia" w:ascii="宋体" w:hAnsi="宋体" w:cs="宋体"/>
          <w:sz w:val="24"/>
        </w:rPr>
        <w:t>（3）供应商针对报价需要说明的其他文件和说明（格式自拟）。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▲注：所提供的以上任一材料，均须加盖供应商公章且按采购文件格式要求签字，否则视为无效材料。</w:t>
      </w:r>
    </w:p>
    <w:p>
      <w:pPr>
        <w:pStyle w:val="89"/>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pStyle w:val="89"/>
        <w:ind w:firstLine="520" w:firstLineChars="200"/>
        <w:rPr>
          <w:rFonts w:ascii="宋体" w:hAnsi="宋体"/>
        </w:rPr>
      </w:pPr>
      <w:r>
        <w:rPr>
          <w:rFonts w:hint="eastAsia" w:ascii="宋体" w:hAnsi="宋体"/>
        </w:rPr>
        <w:t>11.1供应商对响应文件的编制应按要求装订和封装。</w:t>
      </w:r>
    </w:p>
    <w:p>
      <w:pPr>
        <w:pStyle w:val="89"/>
        <w:ind w:firstLine="520" w:firstLineChars="200"/>
        <w:rPr>
          <w:rFonts w:ascii="宋体" w:hAnsi="宋体"/>
        </w:rPr>
      </w:pPr>
      <w:r>
        <w:rPr>
          <w:rFonts w:hint="eastAsia" w:ascii="宋体" w:hAnsi="宋体"/>
        </w:rPr>
        <w:t>11.2供应商提交的响应文件以及供应商与采购人就本项目采购活动的所有来往函电均应使用中文。供应商提交的支持文件和印刷的文献可以使用别的语言，但其相应内容必须附有中文翻译文本，在解释响应文件时以中文翻译文本为主。</w:t>
      </w:r>
    </w:p>
    <w:p>
      <w:pPr>
        <w:pStyle w:val="89"/>
        <w:ind w:firstLine="520" w:firstLineChars="200"/>
        <w:rPr>
          <w:rFonts w:ascii="宋体" w:hAnsi="宋体"/>
        </w:rPr>
      </w:pPr>
      <w:r>
        <w:rPr>
          <w:rFonts w:hint="eastAsia" w:ascii="宋体" w:hAnsi="宋体"/>
        </w:rPr>
        <w:t>11.3供应商应认真阅读并充分理解本文件的全部内容（包括所有的补充通知和修改内容），承诺并履行本文件中各项条款的规定及要求。</w:t>
      </w:r>
    </w:p>
    <w:p>
      <w:pPr>
        <w:pStyle w:val="89"/>
        <w:ind w:firstLine="520" w:firstLineChars="200"/>
        <w:rPr>
          <w:rFonts w:ascii="宋体" w:hAnsi="宋体"/>
        </w:rPr>
      </w:pPr>
      <w:r>
        <w:rPr>
          <w:rFonts w:hint="eastAsia" w:ascii="宋体" w:hAnsi="宋体"/>
        </w:rPr>
        <w:t>11.4响应文件必须按本文件的全部内容，包括所有的补充通知、修改内容及附件进行编制。</w:t>
      </w:r>
    </w:p>
    <w:p>
      <w:pPr>
        <w:pStyle w:val="89"/>
        <w:ind w:firstLine="520" w:firstLineChars="200"/>
      </w:pPr>
      <w:r>
        <w:rPr>
          <w:rFonts w:hint="eastAsia" w:ascii="宋体" w:hAnsi="宋体"/>
        </w:rPr>
        <w:t>11.5如因供应商只填写和提供了本文件要求的部分内容和附件，而给评审造成困难，其可能导致的结果和责任由供应商自行承担。</w:t>
      </w:r>
    </w:p>
    <w:p>
      <w:pPr>
        <w:spacing w:line="400" w:lineRule="exact"/>
        <w:ind w:firstLine="482" w:firstLineChars="200"/>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12.1响应文件以及供应商与采购人就有关采购事宜的所有来往函电，均应以中文汉语书写。除签名、盖章、专用名称等特殊情形外，以中文汉语以外的文字表述的响应文件视同未提供。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供应商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供应商原因引起的报价失误，并在评审时被接受，其后果由供应商自负。</w:t>
      </w:r>
    </w:p>
    <w:p>
      <w:pPr>
        <w:spacing w:line="400" w:lineRule="exact"/>
        <w:ind w:firstLine="480" w:firstLineChars="200"/>
        <w:rPr>
          <w:rFonts w:ascii="宋体" w:hAnsi="宋体" w:cs="宋体"/>
          <w:sz w:val="24"/>
        </w:rPr>
      </w:pPr>
      <w:r>
        <w:rPr>
          <w:rFonts w:hint="eastAsia" w:ascii="宋体" w:hAnsi="宋体" w:cs="宋体"/>
          <w:sz w:val="24"/>
        </w:rPr>
        <w:t>13.5供应商报价应包含货物、随配附件、备品备件、工具、货物运抵指定交货地点的各种费用和售后服务、税金及其它所有成本费用的总和。供应商以明显低于行业平均水平的价格报价的，应当在响应文件中主动提交相关说明及证据。评审小组认为供应商报价明显低于其他报价，可能影响服务质量或履约的，可以要求供应商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7"/>
        <w:snapToGrid w:val="0"/>
        <w:spacing w:before="48" w:beforeLines="20" w:after="48" w:afterLines="20" w:line="400" w:lineRule="exact"/>
        <w:jc w:val="center"/>
        <w:rPr>
          <w:rFonts w:hAnsi="宋体" w:cs="宋体"/>
          <w:b/>
          <w:sz w:val="24"/>
          <w:szCs w:val="24"/>
        </w:rPr>
      </w:pPr>
    </w:p>
    <w:p>
      <w:pPr>
        <w:pStyle w:val="17"/>
        <w:snapToGrid w:val="0"/>
        <w:spacing w:before="48" w:beforeLines="20" w:after="48" w:afterLines="20" w:line="400" w:lineRule="exact"/>
        <w:jc w:val="center"/>
        <w:rPr>
          <w:rFonts w:hAnsi="宋体" w:cs="宋体"/>
          <w:b/>
          <w:sz w:val="24"/>
          <w:szCs w:val="24"/>
        </w:rPr>
      </w:pPr>
      <w:r>
        <w:rPr>
          <w:rFonts w:hint="eastAsia" w:hAnsi="宋体" w:cs="宋体"/>
          <w:b/>
          <w:sz w:val="24"/>
          <w:szCs w:val="24"/>
        </w:rPr>
        <w:t>四、响应文件的递交</w:t>
      </w:r>
    </w:p>
    <w:p>
      <w:pPr>
        <w:spacing w:line="400" w:lineRule="exact"/>
        <w:ind w:firstLine="482" w:firstLineChars="200"/>
        <w:rPr>
          <w:rFonts w:ascii="宋体" w:hAnsi="宋体" w:cs="宋体"/>
          <w:b/>
          <w:sz w:val="24"/>
        </w:rPr>
      </w:pPr>
      <w:r>
        <w:rPr>
          <w:rFonts w:hint="eastAsia" w:ascii="宋体" w:hAnsi="宋体" w:cs="宋体"/>
          <w:b/>
          <w:sz w:val="24"/>
        </w:rPr>
        <w:t>13.响应文件的递交</w:t>
      </w:r>
    </w:p>
    <w:p>
      <w:pPr>
        <w:spacing w:line="400" w:lineRule="exact"/>
        <w:ind w:firstLine="480" w:firstLineChars="200"/>
        <w:rPr>
          <w:rFonts w:ascii="宋体" w:hAnsi="宋体" w:cs="宋体"/>
          <w:sz w:val="24"/>
        </w:rPr>
      </w:pPr>
      <w:r>
        <w:rPr>
          <w:rFonts w:hint="eastAsia" w:ascii="宋体" w:hAnsi="宋体" w:cs="宋体"/>
          <w:sz w:val="24"/>
        </w:rPr>
        <w:t>13.1所有响应文件须按采购公告规定的时间前递交到指定地点。</w:t>
      </w:r>
    </w:p>
    <w:p>
      <w:pPr>
        <w:spacing w:line="400" w:lineRule="exact"/>
        <w:ind w:firstLine="480" w:firstLineChars="200"/>
        <w:rPr>
          <w:rFonts w:ascii="宋体" w:hAnsi="宋体" w:cs="宋体"/>
          <w:sz w:val="24"/>
        </w:rPr>
      </w:pPr>
    </w:p>
    <w:p>
      <w:pPr>
        <w:spacing w:line="400" w:lineRule="exact"/>
        <w:ind w:firstLine="482" w:firstLineChars="200"/>
        <w:rPr>
          <w:rFonts w:ascii="宋体" w:hAnsi="宋体" w:cs="宋体"/>
          <w:b/>
          <w:sz w:val="24"/>
        </w:rPr>
      </w:pPr>
      <w:r>
        <w:rPr>
          <w:rFonts w:hint="eastAsia" w:ascii="宋体" w:hAnsi="宋体" w:cs="宋体"/>
          <w:b/>
          <w:sz w:val="24"/>
        </w:rPr>
        <w:t>14.迟交的响应文件</w:t>
      </w:r>
    </w:p>
    <w:p>
      <w:pPr>
        <w:spacing w:line="400" w:lineRule="exact"/>
        <w:ind w:firstLine="480" w:firstLineChars="200"/>
        <w:rPr>
          <w:rFonts w:ascii="宋体" w:hAnsi="宋体" w:cs="宋体"/>
          <w:sz w:val="24"/>
        </w:rPr>
      </w:pPr>
      <w:r>
        <w:rPr>
          <w:rFonts w:hint="eastAsia" w:ascii="宋体" w:hAnsi="宋体" w:cs="宋体"/>
          <w:sz w:val="24"/>
        </w:rPr>
        <w:t>按《中华人民共和国政府采购法》的规定，采购人将拒绝或原封退回在其规定的递交响应文件截止时间之后收到的任何响应文件。</w:t>
      </w:r>
    </w:p>
    <w:p>
      <w:pPr>
        <w:pStyle w:val="17"/>
        <w:snapToGrid w:val="0"/>
        <w:spacing w:before="48" w:beforeLines="20" w:after="48" w:afterLines="20" w:line="400" w:lineRule="exact"/>
        <w:jc w:val="center"/>
        <w:rPr>
          <w:rFonts w:hAnsi="宋体" w:cs="宋体"/>
          <w:b/>
          <w:sz w:val="24"/>
          <w:szCs w:val="24"/>
        </w:rPr>
      </w:pPr>
    </w:p>
    <w:p>
      <w:pPr>
        <w:pStyle w:val="17"/>
        <w:snapToGrid w:val="0"/>
        <w:spacing w:before="48" w:beforeLines="20" w:after="48" w:afterLines="20" w:line="400" w:lineRule="exact"/>
        <w:jc w:val="center"/>
        <w:rPr>
          <w:rFonts w:hAnsi="宋体" w:cs="宋体"/>
          <w:b/>
          <w:sz w:val="24"/>
          <w:szCs w:val="24"/>
        </w:rPr>
      </w:pPr>
      <w:r>
        <w:rPr>
          <w:rFonts w:hint="eastAsia" w:hAnsi="宋体" w:cs="宋体"/>
          <w:b/>
          <w:sz w:val="24"/>
          <w:szCs w:val="24"/>
        </w:rPr>
        <w:t>五、项目评审</w:t>
      </w:r>
    </w:p>
    <w:p>
      <w:pPr>
        <w:spacing w:line="400" w:lineRule="exact"/>
        <w:ind w:firstLine="482" w:firstLineChars="200"/>
        <w:rPr>
          <w:rFonts w:ascii="宋体" w:hAnsi="宋体" w:cs="宋体"/>
          <w:b/>
          <w:sz w:val="24"/>
        </w:rPr>
      </w:pPr>
      <w:bookmarkStart w:id="4" w:name="_Toc304876596"/>
      <w:r>
        <w:rPr>
          <w:rFonts w:hint="eastAsia" w:ascii="宋体" w:hAnsi="宋体" w:cs="宋体"/>
          <w:b/>
          <w:sz w:val="24"/>
        </w:rPr>
        <w:t>15.报价无效的情形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供应商不得通过修正或撤消不合要求的偏离或保留从而使其报价成为实质上响应的报价，但经评审小组认定属于供应商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供应商修改、补正响应文件后，不影响评审小组对其响应文件所作的评价和评分结果。</w:t>
      </w:r>
    </w:p>
    <w:p>
      <w:pPr>
        <w:spacing w:line="400" w:lineRule="exact"/>
        <w:ind w:firstLine="480" w:firstLineChars="200"/>
        <w:rPr>
          <w:rFonts w:ascii="宋体" w:hAnsi="宋体" w:cs="宋体"/>
          <w:sz w:val="24"/>
        </w:rPr>
      </w:pPr>
      <w:r>
        <w:rPr>
          <w:rFonts w:hint="eastAsia" w:ascii="宋体" w:hAnsi="宋体" w:cs="宋体"/>
          <w:sz w:val="24"/>
        </w:rPr>
        <w:t>15.1在资格和符合性审查时，如发现下列情形之一的，响应文件将被视为无效：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hint="eastAsia" w:ascii="宋体" w:hAnsi="宋体" w:cs="宋体"/>
          <w:sz w:val="24"/>
        </w:rPr>
        <w:t>15.2在技术评审时，如发现下列情形之一的，响应文件将被视为无效：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（3）与其他参加本次报价的供应商的响应文件（技术文件）的差错相同二处以上的。</w:t>
      </w:r>
    </w:p>
    <w:p>
      <w:pPr>
        <w:spacing w:line="400" w:lineRule="exact"/>
        <w:ind w:firstLine="480" w:firstLineChars="200"/>
        <w:rPr>
          <w:rFonts w:ascii="宋体" w:hAnsi="宋体" w:cs="宋体"/>
          <w:sz w:val="24"/>
        </w:rPr>
      </w:pPr>
      <w:r>
        <w:rPr>
          <w:rFonts w:hint="eastAsia" w:ascii="宋体" w:hAnsi="宋体" w:cs="宋体"/>
          <w:sz w:val="24"/>
        </w:rPr>
        <w:t>15.3在报价评审时，如发现下列情形之一的，响应文件将被视为无效：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（4）供应商未就全部内容作完整唯一报价的，或有漏项报价的或有选择的或有条件的报价的。</w:t>
      </w:r>
    </w:p>
    <w:bookmarkEnd w:id="4"/>
    <w:p>
      <w:pPr>
        <w:pStyle w:val="17"/>
        <w:snapToGrid w:val="0"/>
        <w:spacing w:before="48" w:beforeLines="20" w:after="48" w:afterLines="20" w:line="400" w:lineRule="exact"/>
        <w:jc w:val="center"/>
        <w:rPr>
          <w:rFonts w:hAnsi="宋体" w:cs="宋体"/>
          <w:b/>
          <w:sz w:val="24"/>
          <w:szCs w:val="24"/>
        </w:rPr>
      </w:pPr>
    </w:p>
    <w:p>
      <w:pPr>
        <w:pStyle w:val="17"/>
        <w:snapToGrid w:val="0"/>
        <w:spacing w:before="48" w:beforeLines="20" w:after="48" w:afterLines="20" w:line="400" w:lineRule="exact"/>
        <w:jc w:val="center"/>
        <w:rPr>
          <w:rFonts w:hAnsi="宋体" w:cs="宋体"/>
          <w:b/>
          <w:sz w:val="24"/>
          <w:szCs w:val="24"/>
        </w:rPr>
      </w:pPr>
      <w:r>
        <w:rPr>
          <w:rFonts w:hint="eastAsia" w:hAnsi="宋体" w:cs="宋体"/>
          <w:b/>
          <w:sz w:val="24"/>
          <w:szCs w:val="24"/>
        </w:rPr>
        <w:t>六、其他事项</w:t>
      </w:r>
    </w:p>
    <w:p>
      <w:pPr>
        <w:pStyle w:val="17"/>
        <w:spacing w:line="400" w:lineRule="exact"/>
        <w:ind w:firstLine="420"/>
        <w:rPr>
          <w:rFonts w:hAnsi="宋体" w:cs="宋体"/>
          <w:b/>
          <w:sz w:val="24"/>
          <w:szCs w:val="24"/>
        </w:rPr>
      </w:pPr>
      <w:r>
        <w:rPr>
          <w:rFonts w:hint="eastAsia" w:hAnsi="宋体" w:cs="宋体"/>
          <w:b/>
          <w:sz w:val="24"/>
          <w:szCs w:val="24"/>
        </w:rPr>
        <w:t>16.适用法律</w:t>
      </w:r>
    </w:p>
    <w:p>
      <w:pPr>
        <w:pStyle w:val="17"/>
        <w:spacing w:line="400" w:lineRule="exact"/>
        <w:ind w:firstLine="420"/>
        <w:rPr>
          <w:rFonts w:hAnsi="宋体" w:cs="宋体"/>
          <w:sz w:val="24"/>
          <w:szCs w:val="24"/>
        </w:rPr>
      </w:pPr>
      <w:r>
        <w:rPr>
          <w:rFonts w:hint="eastAsia" w:hAnsi="宋体" w:cs="宋体"/>
          <w:b/>
          <w:sz w:val="24"/>
          <w:szCs w:val="24"/>
        </w:rPr>
        <w:t>16.1</w:t>
      </w:r>
      <w:r>
        <w:rPr>
          <w:rFonts w:hint="eastAsia" w:hAnsi="宋体" w:cs="宋体"/>
          <w:sz w:val="24"/>
          <w:szCs w:val="24"/>
        </w:rPr>
        <w:t>采购当事人的一切活动均适用于《中华人民共和国政府采购法》及相关规定。</w:t>
      </w:r>
    </w:p>
    <w:p>
      <w:pPr>
        <w:pStyle w:val="17"/>
        <w:snapToGrid w:val="0"/>
        <w:spacing w:line="400" w:lineRule="exact"/>
        <w:ind w:firstLine="562" w:firstLineChars="200"/>
        <w:jc w:val="center"/>
        <w:rPr>
          <w:rFonts w:hAnsi="宋体"/>
          <w:b/>
          <w:sz w:val="32"/>
          <w:szCs w:val="32"/>
        </w:rPr>
      </w:pPr>
      <w:r>
        <w:rPr>
          <w:rFonts w:hint="eastAsia" w:hAnsi="宋体"/>
          <w:b/>
          <w:sz w:val="28"/>
          <w:szCs w:val="32"/>
        </w:rPr>
        <w:br w:type="textWrapping"/>
      </w:r>
      <w:r>
        <w:rPr>
          <w:rFonts w:hint="eastAsia" w:hAnsi="宋体"/>
          <w:b/>
          <w:sz w:val="28"/>
          <w:szCs w:val="32"/>
        </w:rPr>
        <w:br w:type="page"/>
      </w:r>
      <w:r>
        <w:rPr>
          <w:rFonts w:hint="eastAsia" w:hAnsi="宋体"/>
          <w:b/>
          <w:sz w:val="28"/>
          <w:szCs w:val="32"/>
        </w:rPr>
        <w:t>第三章 服务需求及说明</w:t>
      </w:r>
    </w:p>
    <w:p>
      <w:pPr>
        <w:pStyle w:val="17"/>
        <w:spacing w:line="400" w:lineRule="exact"/>
        <w:ind w:firstLine="420"/>
        <w:rPr>
          <w:rFonts w:hAnsi="宋体" w:cs="宋体"/>
          <w:sz w:val="24"/>
          <w:szCs w:val="24"/>
        </w:rPr>
      </w:pPr>
      <w:r>
        <w:rPr>
          <w:rFonts w:hAnsi="宋体" w:cs="宋体"/>
          <w:sz w:val="24"/>
          <w:szCs w:val="24"/>
        </w:rPr>
        <w:t>一、说明：</w:t>
      </w:r>
    </w:p>
    <w:p>
      <w:pPr>
        <w:pStyle w:val="17"/>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供应商</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7"/>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供应商</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7"/>
        <w:spacing w:line="400" w:lineRule="exact"/>
        <w:ind w:firstLine="420"/>
        <w:rPr>
          <w:rFonts w:hAnsi="宋体" w:cs="宋体"/>
          <w:sz w:val="24"/>
          <w:szCs w:val="24"/>
        </w:rPr>
      </w:pPr>
      <w:r>
        <w:rPr>
          <w:rFonts w:hAnsi="宋体" w:cs="宋体"/>
          <w:sz w:val="24"/>
          <w:szCs w:val="24"/>
        </w:rPr>
        <w:t>二、采购内容：</w:t>
      </w:r>
    </w:p>
    <w:tbl>
      <w:tblPr>
        <w:tblStyle w:val="37"/>
        <w:tblW w:w="8926" w:type="dxa"/>
        <w:jc w:val="center"/>
        <w:tblInd w:w="0" w:type="dxa"/>
        <w:tblLayout w:type="fixed"/>
        <w:tblCellMar>
          <w:top w:w="0" w:type="dxa"/>
          <w:left w:w="0" w:type="dxa"/>
          <w:bottom w:w="0" w:type="dxa"/>
          <w:right w:w="0" w:type="dxa"/>
        </w:tblCellMar>
      </w:tblPr>
      <w:tblGrid>
        <w:gridCol w:w="473"/>
        <w:gridCol w:w="939"/>
        <w:gridCol w:w="709"/>
        <w:gridCol w:w="6805"/>
      </w:tblGrid>
      <w:tr>
        <w:tblPrEx>
          <w:tblLayout w:type="fixed"/>
          <w:tblCellMar>
            <w:top w:w="0" w:type="dxa"/>
            <w:left w:w="0" w:type="dxa"/>
            <w:bottom w:w="0" w:type="dxa"/>
            <w:right w:w="0" w:type="dxa"/>
          </w:tblCellMar>
        </w:tblPrEx>
        <w:trPr>
          <w:trHeight w:val="610" w:hRule="atLeast"/>
          <w:tblHeader/>
          <w:jc w:val="center"/>
        </w:trPr>
        <w:tc>
          <w:tcPr>
            <w:tcW w:w="47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ascii="宋体" w:hAnsi="宋体" w:cs="宋体"/>
                <w:b/>
                <w:bCs/>
                <w:szCs w:val="21"/>
              </w:rPr>
            </w:pPr>
            <w:r>
              <w:rPr>
                <w:rFonts w:hint="eastAsia" w:ascii="宋体" w:hAnsi="宋体" w:cs="宋体"/>
                <w:b/>
                <w:bCs/>
                <w:szCs w:val="21"/>
              </w:rPr>
              <w:t>序号</w:t>
            </w:r>
          </w:p>
        </w:tc>
        <w:tc>
          <w:tcPr>
            <w:tcW w:w="939" w:type="dxa"/>
            <w:tcBorders>
              <w:top w:val="single" w:color="auto" w:sz="4" w:space="0"/>
              <w:left w:val="nil"/>
              <w:bottom w:val="single" w:color="auto" w:sz="4" w:space="0"/>
              <w:right w:val="single" w:color="auto" w:sz="4" w:space="0"/>
            </w:tcBorders>
            <w:vAlign w:val="center"/>
          </w:tcPr>
          <w:p>
            <w:pPr>
              <w:spacing w:line="240" w:lineRule="exact"/>
              <w:jc w:val="center"/>
              <w:rPr>
                <w:rFonts w:ascii="宋体" w:hAnsi="宋体" w:cs="宋体"/>
                <w:b/>
                <w:bCs/>
                <w:szCs w:val="21"/>
              </w:rPr>
            </w:pPr>
            <w:r>
              <w:rPr>
                <w:rFonts w:hint="eastAsia" w:ascii="宋体" w:hAnsi="宋体" w:cs="宋体"/>
                <w:b/>
                <w:bCs/>
                <w:szCs w:val="21"/>
              </w:rPr>
              <w:t>服务名称</w:t>
            </w:r>
          </w:p>
        </w:tc>
        <w:tc>
          <w:tcPr>
            <w:tcW w:w="7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240" w:lineRule="exact"/>
              <w:jc w:val="center"/>
              <w:rPr>
                <w:rFonts w:ascii="宋体" w:hAnsi="宋体" w:cs="宋体"/>
                <w:b/>
                <w:bCs/>
                <w:szCs w:val="21"/>
              </w:rPr>
            </w:pPr>
            <w:r>
              <w:rPr>
                <w:rFonts w:hint="eastAsia" w:ascii="宋体" w:hAnsi="宋体" w:cs="宋体"/>
                <w:b/>
                <w:bCs/>
                <w:szCs w:val="21"/>
              </w:rPr>
              <w:t>数量</w:t>
            </w:r>
          </w:p>
        </w:tc>
        <w:tc>
          <w:tcPr>
            <w:tcW w:w="680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20" w:lineRule="exact"/>
              <w:jc w:val="center"/>
              <w:rPr>
                <w:rFonts w:ascii="宋体" w:hAnsi="宋体" w:cs="宋体"/>
                <w:b/>
                <w:bCs/>
                <w:szCs w:val="21"/>
              </w:rPr>
            </w:pPr>
            <w:r>
              <w:rPr>
                <w:rFonts w:hint="eastAsia" w:ascii="宋体" w:hAnsi="宋体" w:cs="宋体"/>
                <w:b/>
                <w:bCs/>
                <w:szCs w:val="21"/>
              </w:rPr>
              <w:t>服务项目的具体内容和要求</w:t>
            </w:r>
          </w:p>
        </w:tc>
      </w:tr>
      <w:tr>
        <w:tblPrEx>
          <w:tblLayout w:type="fixed"/>
          <w:tblCellMar>
            <w:top w:w="0" w:type="dxa"/>
            <w:left w:w="0" w:type="dxa"/>
            <w:bottom w:w="0" w:type="dxa"/>
            <w:right w:w="0" w:type="dxa"/>
          </w:tblCellMar>
        </w:tblPrEx>
        <w:trPr>
          <w:trHeight w:val="577"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1</w:t>
            </w:r>
          </w:p>
        </w:tc>
        <w:tc>
          <w:tcPr>
            <w:tcW w:w="939" w:type="dxa"/>
            <w:tcBorders>
              <w:top w:val="single" w:color="auto" w:sz="4" w:space="0"/>
              <w:left w:val="nil"/>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广西融合视频会议系统项目工程监理服务</w:t>
            </w:r>
          </w:p>
        </w:tc>
        <w:tc>
          <w:tcPr>
            <w:tcW w:w="7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napToGrid w:val="0"/>
              <w:spacing w:line="360" w:lineRule="auto"/>
              <w:jc w:val="center"/>
              <w:rPr>
                <w:rFonts w:ascii="宋体" w:hAnsi="宋体" w:cs="宋体"/>
                <w:szCs w:val="21"/>
              </w:rPr>
            </w:pPr>
            <w:r>
              <w:rPr>
                <w:rFonts w:hint="eastAsia" w:ascii="宋体" w:hAnsi="宋体" w:cs="宋体"/>
                <w:szCs w:val="21"/>
              </w:rPr>
              <w:t>1项</w:t>
            </w:r>
          </w:p>
        </w:tc>
        <w:tc>
          <w:tcPr>
            <w:tcW w:w="680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line="360" w:lineRule="auto"/>
              <w:ind w:firstLine="342" w:firstLineChars="163"/>
              <w:rPr>
                <w:rFonts w:ascii="宋体" w:hAnsi="宋体" w:cs="宋体"/>
                <w:szCs w:val="21"/>
              </w:rPr>
            </w:pPr>
            <w:r>
              <w:rPr>
                <w:rFonts w:hint="eastAsia" w:ascii="宋体" w:hAnsi="宋体" w:cs="宋体"/>
                <w:szCs w:val="21"/>
              </w:rPr>
              <w:t>一、项目概况</w:t>
            </w:r>
          </w:p>
          <w:p>
            <w:pPr>
              <w:spacing w:line="360" w:lineRule="auto"/>
              <w:ind w:firstLine="342" w:firstLineChars="163"/>
              <w:rPr>
                <w:rFonts w:ascii="宋体" w:hAnsi="宋体" w:cs="宋体"/>
                <w:szCs w:val="21"/>
              </w:rPr>
            </w:pPr>
            <w:r>
              <w:rPr>
                <w:rFonts w:hint="eastAsia" w:ascii="宋体" w:hAnsi="宋体" w:cs="宋体"/>
                <w:szCs w:val="21"/>
              </w:rPr>
              <w:t>依托“壮美广西•政务云”、政务网络服务体系，融合全区各级各部门视频会议资源，在广西疫情防控管理一体化平台统一视频会议系统基础上扩展建设广西融合视频会议系统。本项目的监理服务范围主要是依据国家有关法律法规、技术标准对广西融合视频会议系统的建设内容进行“四控三管一协调”的全过程监理，保障项目顺利实施。</w:t>
            </w:r>
          </w:p>
          <w:p>
            <w:pPr>
              <w:spacing w:line="360" w:lineRule="auto"/>
              <w:ind w:firstLine="342" w:firstLineChars="163"/>
              <w:rPr>
                <w:rFonts w:ascii="宋体" w:hAnsi="宋体" w:cs="宋体"/>
                <w:szCs w:val="21"/>
              </w:rPr>
            </w:pPr>
            <w:r>
              <w:rPr>
                <w:rFonts w:hint="eastAsia" w:ascii="宋体" w:hAnsi="宋体" w:cs="宋体"/>
                <w:szCs w:val="21"/>
              </w:rPr>
              <w:t>二、监理工作整体要求</w:t>
            </w:r>
          </w:p>
          <w:p>
            <w:pPr>
              <w:spacing w:line="360" w:lineRule="auto"/>
              <w:ind w:firstLine="342" w:firstLineChars="163"/>
              <w:rPr>
                <w:rFonts w:ascii="宋体" w:hAnsi="宋体" w:cs="宋体"/>
                <w:szCs w:val="21"/>
              </w:rPr>
            </w:pPr>
            <w:r>
              <w:rPr>
                <w:rFonts w:hint="eastAsia" w:ascii="宋体" w:hAnsi="宋体" w:cs="宋体"/>
                <w:szCs w:val="21"/>
              </w:rPr>
              <w:t>（一）针对本项目依据国家有关法律法规、技术标准和信息系统项目监理合同，对项目实施进行质量控制、进度控制、投资控制、变更控制、合同管理、信息管理、安全管理及协调，协助采购人全面地对项目的建设内容进行管理和技术监督，对项目承建单位进行全过程管理、监督、指导、评价，确保承建单位的建设行为合法、合理、科学、经济，为采购人规避建设风险，促进项目总体目标的达成，并根据项目建设过程的监理情况出具相应的项目监理报告。</w:t>
            </w:r>
          </w:p>
          <w:p>
            <w:pPr>
              <w:spacing w:line="360" w:lineRule="auto"/>
              <w:ind w:firstLine="342" w:firstLineChars="163"/>
              <w:rPr>
                <w:rFonts w:ascii="宋体" w:hAnsi="宋体" w:cs="宋体"/>
                <w:szCs w:val="21"/>
              </w:rPr>
            </w:pPr>
            <w:r>
              <w:rPr>
                <w:rFonts w:hint="eastAsia" w:ascii="宋体" w:hAnsi="宋体" w:cs="宋体"/>
                <w:szCs w:val="21"/>
              </w:rPr>
              <w:t>三、监理工作依据</w:t>
            </w:r>
          </w:p>
          <w:p>
            <w:pPr>
              <w:spacing w:line="360" w:lineRule="auto"/>
              <w:ind w:firstLine="342" w:firstLineChars="163"/>
              <w:rPr>
                <w:rFonts w:ascii="宋体" w:hAnsi="宋体" w:cs="宋体"/>
                <w:szCs w:val="21"/>
              </w:rPr>
            </w:pPr>
            <w:r>
              <w:rPr>
                <w:rFonts w:hint="eastAsia" w:ascii="宋体" w:hAnsi="宋体" w:cs="宋体"/>
                <w:szCs w:val="21"/>
              </w:rPr>
              <w:t>（一）监理规范：</w:t>
            </w:r>
          </w:p>
          <w:p>
            <w:pPr>
              <w:spacing w:line="360" w:lineRule="auto"/>
              <w:ind w:firstLine="342" w:firstLineChars="163"/>
              <w:rPr>
                <w:rFonts w:ascii="宋体" w:hAnsi="宋体" w:cs="宋体"/>
                <w:szCs w:val="21"/>
              </w:rPr>
            </w:pPr>
            <w:r>
              <w:rPr>
                <w:rFonts w:hint="eastAsia" w:ascii="宋体" w:hAnsi="宋体" w:cs="宋体"/>
                <w:szCs w:val="21"/>
              </w:rPr>
              <w:t>依据《信息技术服务 监理 第1部分：总则》（GB/T 19668.1-2014）、《信息技术服务 监理 第2部分：基础设施工程监理规范》（GB/T 19668.2-2017）、《信息技术服务 监理 第3部分：运行维护监理规范》（GB/T 19668.3-2017）、《信息技术服务 监理 第4部分：信息安全监理规范》（GB/T 19668.4-2017）、《信息技术服务 监理 第5部分：软件工程监理规范》（GB/T 19668.5-2018）、《信息技术服务 监理 第6部分：数据中心监理规范》（GBT 19668.6-2019）开展项目监理工作。</w:t>
            </w:r>
          </w:p>
          <w:p>
            <w:pPr>
              <w:spacing w:line="360" w:lineRule="auto"/>
              <w:ind w:firstLine="342" w:firstLineChars="163"/>
              <w:rPr>
                <w:rFonts w:ascii="宋体" w:hAnsi="宋体" w:cs="宋体"/>
                <w:szCs w:val="21"/>
              </w:rPr>
            </w:pPr>
            <w:r>
              <w:rPr>
                <w:rFonts w:hint="eastAsia" w:ascii="宋体" w:hAnsi="宋体" w:cs="宋体"/>
                <w:szCs w:val="21"/>
              </w:rPr>
              <w:t>（二）项目实施部分，按以下标准严格执行：</w:t>
            </w:r>
          </w:p>
          <w:p>
            <w:pPr>
              <w:spacing w:line="360" w:lineRule="auto"/>
              <w:ind w:firstLine="342" w:firstLineChars="163"/>
              <w:rPr>
                <w:rFonts w:ascii="宋体" w:hAnsi="宋体" w:cs="宋体"/>
                <w:szCs w:val="21"/>
              </w:rPr>
            </w:pPr>
            <w:r>
              <w:rPr>
                <w:rFonts w:hint="eastAsia" w:ascii="宋体" w:hAnsi="宋体" w:cs="宋体"/>
                <w:szCs w:val="21"/>
              </w:rPr>
              <w:t>《计算机软件文档编制规范》（GB/T 8567-2006）、《计算机软件需求规格说明规范》（GB/T 9385-2008）、《计算机软件测试文档编制规范》（GB/T 9386-2008）、《信息技术软件生存周期过程》（GBT 8566-2007）、《计算机软件测试规范》（GB/T 15532-2008）、《计算机软件产品开发文件编制指南》（GB/T 8567-2006）、《软件工程术语》（GB/T 11457-2006）、《信息技术系统及软件完整性级别》（GB/T 18492-2001）、《信息技术 软件工程术语》（GB/T 11457-2006）、《计算机软件可靠性和可维护性管理》（GB-T 14394-2008）、《信息系统物理安全技术要求》（GB/T21052－2007）、《电气装置安装工程电缆线路施工及验收规范》（GB 50168-92）、《安全防范工程技术规范》（GB 50348-2004）、《安全防范系统验收规则》（GA 308-2001）、《信息安全技术 信息系统安全等级保护实施指南》（GB/T 25058-2010）、《电子信息系统机房设计规范》（GB 50174-2008）、《电子信息系统机房施工及验收规范》（GB 50462-2008）。</w:t>
            </w:r>
          </w:p>
          <w:p>
            <w:pPr>
              <w:spacing w:line="360" w:lineRule="auto"/>
              <w:ind w:firstLine="342" w:firstLineChars="163"/>
              <w:rPr>
                <w:rFonts w:ascii="宋体" w:hAnsi="宋体" w:cs="宋体"/>
                <w:szCs w:val="21"/>
              </w:rPr>
            </w:pPr>
            <w:r>
              <w:rPr>
                <w:rFonts w:hint="eastAsia" w:ascii="宋体" w:hAnsi="宋体" w:cs="宋体"/>
                <w:szCs w:val="21"/>
              </w:rPr>
              <w:t>（三）其他监理依据</w:t>
            </w:r>
          </w:p>
          <w:p>
            <w:pPr>
              <w:spacing w:line="360" w:lineRule="auto"/>
              <w:ind w:firstLine="342" w:firstLineChars="163"/>
              <w:rPr>
                <w:rFonts w:ascii="宋体" w:hAnsi="宋体" w:cs="宋体"/>
                <w:szCs w:val="21"/>
              </w:rPr>
            </w:pPr>
            <w:r>
              <w:rPr>
                <w:rFonts w:hint="eastAsia" w:ascii="宋体" w:hAnsi="宋体" w:cs="宋体"/>
                <w:szCs w:val="21"/>
              </w:rPr>
              <w:t>1.监理单位合同；</w:t>
            </w:r>
          </w:p>
          <w:p>
            <w:pPr>
              <w:spacing w:line="360" w:lineRule="auto"/>
              <w:ind w:firstLine="342" w:firstLineChars="163"/>
              <w:rPr>
                <w:rFonts w:ascii="宋体" w:hAnsi="宋体" w:cs="宋体"/>
                <w:szCs w:val="21"/>
              </w:rPr>
            </w:pPr>
            <w:r>
              <w:rPr>
                <w:rFonts w:hint="eastAsia" w:ascii="宋体" w:hAnsi="宋体" w:cs="宋体"/>
                <w:szCs w:val="21"/>
              </w:rPr>
              <w:t>2.项目招投标文件；</w:t>
            </w:r>
          </w:p>
          <w:p>
            <w:pPr>
              <w:spacing w:line="360" w:lineRule="auto"/>
              <w:ind w:firstLine="342" w:firstLineChars="163"/>
              <w:rPr>
                <w:rFonts w:ascii="宋体" w:hAnsi="宋体" w:cs="宋体"/>
                <w:szCs w:val="21"/>
              </w:rPr>
            </w:pPr>
            <w:r>
              <w:rPr>
                <w:rFonts w:hint="eastAsia" w:ascii="宋体" w:hAnsi="宋体" w:cs="宋体"/>
                <w:szCs w:val="21"/>
              </w:rPr>
              <w:t>3.承建单位合同；</w:t>
            </w:r>
          </w:p>
          <w:p>
            <w:pPr>
              <w:spacing w:line="360" w:lineRule="auto"/>
              <w:ind w:firstLine="342" w:firstLineChars="163"/>
              <w:rPr>
                <w:rFonts w:ascii="宋体" w:hAnsi="宋体" w:cs="宋体"/>
                <w:szCs w:val="21"/>
              </w:rPr>
            </w:pPr>
            <w:r>
              <w:rPr>
                <w:rFonts w:hint="eastAsia" w:ascii="宋体" w:hAnsi="宋体" w:cs="宋体"/>
                <w:szCs w:val="21"/>
              </w:rPr>
              <w:t>4.项目前期设计文件。</w:t>
            </w:r>
          </w:p>
          <w:p>
            <w:pPr>
              <w:spacing w:line="360" w:lineRule="auto"/>
              <w:ind w:firstLine="342" w:firstLineChars="163"/>
              <w:rPr>
                <w:rFonts w:ascii="宋体" w:hAnsi="宋体" w:cs="宋体"/>
                <w:szCs w:val="21"/>
              </w:rPr>
            </w:pPr>
            <w:r>
              <w:rPr>
                <w:rFonts w:hint="eastAsia" w:ascii="宋体" w:hAnsi="宋体" w:cs="宋体"/>
                <w:szCs w:val="21"/>
              </w:rPr>
              <w:t>四、监理工作目标</w:t>
            </w:r>
          </w:p>
          <w:p>
            <w:pPr>
              <w:spacing w:line="360" w:lineRule="auto"/>
              <w:ind w:firstLine="342" w:firstLineChars="163"/>
              <w:rPr>
                <w:rFonts w:ascii="宋体" w:hAnsi="宋体" w:cs="宋体"/>
                <w:szCs w:val="21"/>
              </w:rPr>
            </w:pPr>
            <w:r>
              <w:rPr>
                <w:rFonts w:hint="eastAsia" w:ascii="宋体" w:hAnsi="宋体" w:cs="宋体"/>
                <w:szCs w:val="21"/>
              </w:rPr>
              <w:t>根据采购人提出的项目各项质量目标，进而制定科学、合理的质量控制方法和措施，确保项目工程质量验收达到合格；杜绝质量和信息安全事故，以最短的工期实现工程顺利竣工并达到最佳的投资效果。</w:t>
            </w:r>
          </w:p>
          <w:p>
            <w:pPr>
              <w:spacing w:line="360" w:lineRule="auto"/>
              <w:ind w:firstLine="342" w:firstLineChars="163"/>
              <w:rPr>
                <w:rFonts w:ascii="宋体" w:hAnsi="宋体" w:cs="宋体"/>
                <w:szCs w:val="21"/>
              </w:rPr>
            </w:pPr>
            <w:r>
              <w:rPr>
                <w:rFonts w:hint="eastAsia" w:ascii="宋体" w:hAnsi="宋体" w:cs="宋体"/>
                <w:szCs w:val="21"/>
              </w:rPr>
              <w:t>五、服务内容</w:t>
            </w:r>
          </w:p>
          <w:p>
            <w:pPr>
              <w:spacing w:line="360" w:lineRule="auto"/>
              <w:ind w:firstLine="342" w:firstLineChars="163"/>
              <w:rPr>
                <w:rFonts w:ascii="宋体" w:hAnsi="宋体" w:cs="宋体"/>
                <w:szCs w:val="21"/>
              </w:rPr>
            </w:pPr>
            <w:r>
              <w:rPr>
                <w:rFonts w:hint="eastAsia" w:ascii="宋体" w:hAnsi="宋体" w:cs="宋体"/>
                <w:szCs w:val="21"/>
              </w:rPr>
              <w:t>（一）项目实施情况检查</w:t>
            </w:r>
          </w:p>
          <w:p>
            <w:pPr>
              <w:spacing w:line="360" w:lineRule="auto"/>
              <w:ind w:firstLine="342" w:firstLineChars="163"/>
              <w:rPr>
                <w:rFonts w:ascii="宋体" w:hAnsi="宋体" w:cs="宋体"/>
                <w:szCs w:val="21"/>
              </w:rPr>
            </w:pPr>
            <w:r>
              <w:rPr>
                <w:rFonts w:hint="eastAsia" w:ascii="宋体" w:hAnsi="宋体" w:cs="宋体"/>
                <w:szCs w:val="21"/>
              </w:rPr>
              <w:t>1.按照通过审核的实施方案/计划，检查承建单位的实施准备情况、人员投入情况。如果存在问题，及时督促承建单位进行整改。</w:t>
            </w:r>
          </w:p>
          <w:p>
            <w:pPr>
              <w:spacing w:line="360" w:lineRule="auto"/>
              <w:ind w:firstLine="342" w:firstLineChars="163"/>
              <w:rPr>
                <w:rFonts w:ascii="宋体" w:hAnsi="宋体" w:cs="宋体"/>
                <w:szCs w:val="21"/>
              </w:rPr>
            </w:pPr>
            <w:r>
              <w:rPr>
                <w:rFonts w:hint="eastAsia" w:ascii="宋体" w:hAnsi="宋体" w:cs="宋体"/>
                <w:szCs w:val="21"/>
              </w:rPr>
              <w:t>2.督促承建单位提交到货计划，审核承建单位的到货计划，到货计划必须符合合同要求的时间节点，跟进承建单位的到货工作，发现进度滞后或者实际进度可能影响总体进度时，及时在项目例会上提出预警和监理的建议。</w:t>
            </w:r>
          </w:p>
          <w:p>
            <w:pPr>
              <w:spacing w:line="360" w:lineRule="auto"/>
              <w:ind w:firstLine="342" w:firstLineChars="163"/>
              <w:rPr>
                <w:rFonts w:ascii="宋体" w:hAnsi="宋体" w:cs="宋体"/>
                <w:szCs w:val="21"/>
              </w:rPr>
            </w:pPr>
            <w:r>
              <w:rPr>
                <w:rFonts w:hint="eastAsia" w:ascii="宋体" w:hAnsi="宋体" w:cs="宋体"/>
                <w:szCs w:val="21"/>
              </w:rPr>
              <w:t>3.依据项目方案、招标文件、投标文件和合同对本项目采购的自助终端、安全、服务器、存储、网络等硬件设备的数量、规格型号、参数配置、功能、性能进行检查、核对与验收。</w:t>
            </w:r>
          </w:p>
          <w:p>
            <w:pPr>
              <w:spacing w:line="360" w:lineRule="auto"/>
              <w:ind w:firstLine="342" w:firstLineChars="163"/>
              <w:rPr>
                <w:rFonts w:ascii="宋体" w:hAnsi="宋体" w:cs="宋体"/>
                <w:szCs w:val="21"/>
              </w:rPr>
            </w:pPr>
            <w:r>
              <w:rPr>
                <w:rFonts w:hint="eastAsia" w:ascii="宋体" w:hAnsi="宋体" w:cs="宋体"/>
                <w:szCs w:val="21"/>
              </w:rPr>
              <w:t>4.依据项目承建合同所约定的工期目标，在确保工程质量和安全的原则下，采用动态的控制方法，对工程进度进行主动控制，确保工程按规定的工期完工。并且定期检查承建单位按照进度计划的项目建设情况，促使计划与实际建设的进度保持一致，发现偏差及时纠正，使项目能够按照计划完成，对项目出现的调整进行严格的程序控制。</w:t>
            </w:r>
          </w:p>
          <w:p>
            <w:pPr>
              <w:spacing w:line="360" w:lineRule="auto"/>
              <w:ind w:firstLine="342" w:firstLineChars="163"/>
              <w:rPr>
                <w:rFonts w:ascii="宋体" w:hAnsi="宋体" w:cs="宋体"/>
                <w:szCs w:val="21"/>
              </w:rPr>
            </w:pPr>
            <w:r>
              <w:rPr>
                <w:rFonts w:hint="eastAsia" w:ascii="宋体" w:hAnsi="宋体" w:cs="宋体"/>
                <w:szCs w:val="21"/>
              </w:rPr>
              <w:t>5.协助项目采购人做好项目支付预算，将付款进度与项目质量和进度结合起来，当发现资金使用严重偏离计划时，及时指出并提出对策建议，同时督促承建单位尽快采取措施。</w:t>
            </w:r>
          </w:p>
          <w:p>
            <w:pPr>
              <w:spacing w:line="360" w:lineRule="auto"/>
              <w:ind w:firstLine="342" w:firstLineChars="163"/>
              <w:rPr>
                <w:rFonts w:ascii="宋体" w:hAnsi="宋体" w:cs="宋体"/>
                <w:szCs w:val="21"/>
              </w:rPr>
            </w:pPr>
            <w:r>
              <w:rPr>
                <w:rFonts w:hint="eastAsia" w:ascii="宋体" w:hAnsi="宋体" w:cs="宋体"/>
                <w:szCs w:val="21"/>
              </w:rPr>
              <w:t>6.协助采购人、承建单位做好需求调研和分析，并依据项目招标文件、投标文件、需求规格说明书和详细设计方案对软件平台的功能、性能、接口等内容进行检查、核对与验收。</w:t>
            </w:r>
          </w:p>
          <w:p>
            <w:pPr>
              <w:spacing w:line="360" w:lineRule="auto"/>
              <w:ind w:firstLine="342" w:firstLineChars="163"/>
              <w:rPr>
                <w:rFonts w:ascii="宋体" w:hAnsi="宋体" w:cs="宋体"/>
                <w:szCs w:val="21"/>
              </w:rPr>
            </w:pPr>
            <w:r>
              <w:rPr>
                <w:rFonts w:hint="eastAsia" w:ascii="宋体" w:hAnsi="宋体" w:cs="宋体"/>
                <w:szCs w:val="21"/>
              </w:rPr>
              <w:t>7.建立完善的信息与文档管理机制，按照文档管理要求，在建设过程中确保承建单位的文档随工，并对承建单位输出的文档进行审核，及时提出相应的监理意见指导承建单位修改。</w:t>
            </w:r>
          </w:p>
          <w:p>
            <w:pPr>
              <w:spacing w:line="360" w:lineRule="auto"/>
              <w:ind w:firstLine="342" w:firstLineChars="163"/>
              <w:rPr>
                <w:rFonts w:ascii="宋体" w:hAnsi="宋体" w:cs="宋体"/>
                <w:szCs w:val="21"/>
              </w:rPr>
            </w:pPr>
            <w:r>
              <w:rPr>
                <w:rFonts w:hint="eastAsia" w:ascii="宋体" w:hAnsi="宋体" w:cs="宋体"/>
                <w:szCs w:val="21"/>
              </w:rPr>
              <w:t>（二）文档审核</w:t>
            </w:r>
          </w:p>
          <w:p>
            <w:pPr>
              <w:spacing w:line="360" w:lineRule="auto"/>
              <w:ind w:firstLine="342" w:firstLineChars="163"/>
              <w:rPr>
                <w:rFonts w:ascii="宋体" w:hAnsi="宋体" w:cs="宋体"/>
                <w:szCs w:val="21"/>
              </w:rPr>
            </w:pPr>
            <w:r>
              <w:rPr>
                <w:rFonts w:hint="eastAsia" w:ascii="宋体" w:hAnsi="宋体" w:cs="宋体"/>
                <w:szCs w:val="21"/>
              </w:rPr>
              <w:t>1.审核承建单位提交的实施方案/计划，确认无误后，受理承建单位的开工申请，签署监理审核意见，签发开工令。</w:t>
            </w:r>
          </w:p>
          <w:p>
            <w:pPr>
              <w:spacing w:line="360" w:lineRule="auto"/>
              <w:ind w:firstLine="342" w:firstLineChars="163"/>
              <w:rPr>
                <w:rFonts w:ascii="宋体" w:hAnsi="宋体" w:cs="宋体"/>
                <w:szCs w:val="21"/>
              </w:rPr>
            </w:pPr>
            <w:r>
              <w:rPr>
                <w:rFonts w:hint="eastAsia" w:ascii="宋体" w:hAnsi="宋体" w:cs="宋体"/>
                <w:szCs w:val="21"/>
              </w:rPr>
              <w:t>2.需求调研结束后，督促承建单位整理相应的用户需求，并形成需求规格说明书，由监理单位审核完成后，提出监理意见（抄送采购人负责人），监督承建单位进行完善并复核，在需求规格说明书报审表上签署监理意见。</w:t>
            </w:r>
          </w:p>
          <w:p>
            <w:pPr>
              <w:spacing w:line="360" w:lineRule="auto"/>
              <w:ind w:firstLine="342" w:firstLineChars="163"/>
              <w:rPr>
                <w:rFonts w:ascii="宋体" w:hAnsi="宋体" w:cs="宋体"/>
                <w:szCs w:val="21"/>
              </w:rPr>
            </w:pPr>
            <w:r>
              <w:rPr>
                <w:rFonts w:hint="eastAsia" w:ascii="宋体" w:hAnsi="宋体" w:cs="宋体"/>
                <w:szCs w:val="21"/>
              </w:rPr>
              <w:t>3.审核承建单位提交的测试方案，并与采购人、承建单位对系统平台进行测试，监督承建单位对测试发现的BUG进行整改，并进行复测；审核承建单位编制的测试报告，并提出监理意见。</w:t>
            </w:r>
          </w:p>
          <w:p>
            <w:pPr>
              <w:spacing w:line="360" w:lineRule="auto"/>
              <w:ind w:firstLine="342" w:firstLineChars="163"/>
              <w:rPr>
                <w:rFonts w:ascii="宋体" w:hAnsi="宋体" w:cs="宋体"/>
                <w:szCs w:val="21"/>
              </w:rPr>
            </w:pPr>
            <w:r>
              <w:rPr>
                <w:rFonts w:hint="eastAsia" w:ascii="宋体" w:hAnsi="宋体" w:cs="宋体"/>
                <w:szCs w:val="21"/>
              </w:rPr>
              <w:t>4.审核承建单位编制的培训方案，检查承建单位培训准备工作（包括培训教材、操作手册、培训签到表、培训记录等），并抽查承建单位的培训工作，督促承建单位编制培训总结报告。</w:t>
            </w:r>
          </w:p>
          <w:p>
            <w:pPr>
              <w:spacing w:line="360" w:lineRule="auto"/>
              <w:ind w:firstLine="342" w:firstLineChars="163"/>
              <w:rPr>
                <w:rFonts w:ascii="宋体" w:hAnsi="宋体" w:cs="宋体"/>
                <w:szCs w:val="21"/>
              </w:rPr>
            </w:pPr>
            <w:r>
              <w:rPr>
                <w:rFonts w:hint="eastAsia" w:ascii="宋体" w:hAnsi="宋体" w:cs="宋体"/>
                <w:szCs w:val="21"/>
              </w:rPr>
              <w:t>5.如遇项目延期，审核承建单位提出的延期申请，并督促承建单位对延期内的项目情况进行说明，制定相应的延期计划，保证项目能够在延期的期限内完成建设。</w:t>
            </w:r>
          </w:p>
          <w:p>
            <w:pPr>
              <w:spacing w:line="360" w:lineRule="auto"/>
              <w:ind w:firstLine="342" w:firstLineChars="163"/>
              <w:rPr>
                <w:rFonts w:ascii="宋体" w:hAnsi="宋体" w:cs="宋体"/>
                <w:szCs w:val="21"/>
              </w:rPr>
            </w:pPr>
            <w:r>
              <w:rPr>
                <w:rFonts w:hint="eastAsia" w:ascii="宋体" w:hAnsi="宋体" w:cs="宋体"/>
                <w:szCs w:val="21"/>
              </w:rPr>
              <w:t>6.审核承建单位提交的项目验收申请，督促承建单位制定相应的验收方案，并检查承建单位的验收文档准备情况，做好文档审核工作。</w:t>
            </w:r>
          </w:p>
          <w:p>
            <w:pPr>
              <w:spacing w:line="360" w:lineRule="auto"/>
              <w:ind w:firstLine="342" w:firstLineChars="163"/>
              <w:rPr>
                <w:rFonts w:ascii="宋体" w:hAnsi="宋体" w:cs="宋体"/>
                <w:szCs w:val="21"/>
              </w:rPr>
            </w:pPr>
            <w:r>
              <w:rPr>
                <w:rFonts w:hint="eastAsia" w:ascii="宋体" w:hAnsi="宋体" w:cs="宋体"/>
                <w:szCs w:val="21"/>
              </w:rPr>
              <w:t>（三）变更控制</w:t>
            </w:r>
          </w:p>
          <w:p>
            <w:pPr>
              <w:spacing w:line="360" w:lineRule="auto"/>
              <w:ind w:firstLine="342" w:firstLineChars="163"/>
              <w:rPr>
                <w:rFonts w:ascii="宋体" w:hAnsi="宋体" w:cs="宋体"/>
                <w:szCs w:val="21"/>
              </w:rPr>
            </w:pPr>
            <w:r>
              <w:rPr>
                <w:rFonts w:hint="eastAsia" w:ascii="宋体" w:hAnsi="宋体" w:cs="宋体"/>
                <w:szCs w:val="21"/>
              </w:rPr>
              <w:t>1.受理变更单位提出的项目变更，对内容进行审核，确认变更流程，督促变更单位完善变更材料并进行复核。</w:t>
            </w:r>
          </w:p>
          <w:p>
            <w:pPr>
              <w:spacing w:line="360" w:lineRule="auto"/>
              <w:ind w:firstLine="342" w:firstLineChars="163"/>
              <w:rPr>
                <w:rFonts w:ascii="宋体" w:hAnsi="宋体" w:cs="宋体"/>
                <w:szCs w:val="21"/>
              </w:rPr>
            </w:pPr>
            <w:r>
              <w:rPr>
                <w:rFonts w:hint="eastAsia" w:ascii="宋体" w:hAnsi="宋体" w:cs="宋体"/>
                <w:szCs w:val="21"/>
              </w:rPr>
              <w:t>2.对项目变更进行确认，跟进项目变更后的产生的影响，做好变更结果记录。</w:t>
            </w:r>
          </w:p>
          <w:p>
            <w:pPr>
              <w:spacing w:line="360" w:lineRule="auto"/>
              <w:ind w:firstLine="342" w:firstLineChars="163"/>
              <w:rPr>
                <w:rFonts w:ascii="宋体" w:hAnsi="宋体" w:cs="宋体"/>
                <w:szCs w:val="21"/>
              </w:rPr>
            </w:pPr>
            <w:r>
              <w:rPr>
                <w:rFonts w:hint="eastAsia" w:ascii="宋体" w:hAnsi="宋体" w:cs="宋体"/>
                <w:szCs w:val="21"/>
              </w:rPr>
              <w:t>（四）投资控制</w:t>
            </w:r>
          </w:p>
          <w:p>
            <w:pPr>
              <w:spacing w:line="360" w:lineRule="auto"/>
              <w:ind w:firstLine="342" w:firstLineChars="163"/>
              <w:rPr>
                <w:rFonts w:ascii="宋体" w:hAnsi="宋体" w:cs="宋体"/>
                <w:szCs w:val="21"/>
              </w:rPr>
            </w:pPr>
            <w:r>
              <w:rPr>
                <w:rFonts w:hint="eastAsia" w:ascii="宋体" w:hAnsi="宋体" w:cs="宋体"/>
                <w:szCs w:val="21"/>
              </w:rPr>
              <w:t>1.核实承建单位的工程实际完成情况和工程量，确保工程实施情况的真实性。</w:t>
            </w:r>
          </w:p>
          <w:p>
            <w:pPr>
              <w:spacing w:line="360" w:lineRule="auto"/>
              <w:ind w:firstLine="342" w:firstLineChars="163"/>
              <w:rPr>
                <w:rFonts w:ascii="宋体" w:hAnsi="宋体" w:cs="宋体"/>
                <w:szCs w:val="21"/>
              </w:rPr>
            </w:pPr>
            <w:r>
              <w:rPr>
                <w:rFonts w:hint="eastAsia" w:ascii="宋体" w:hAnsi="宋体" w:cs="宋体"/>
                <w:szCs w:val="21"/>
              </w:rPr>
              <w:t>2.审核承建单位的项目款支付申请，配合采购人依据工程质量与进度签发项目款项支付凭证。</w:t>
            </w:r>
          </w:p>
          <w:p>
            <w:pPr>
              <w:spacing w:line="360" w:lineRule="auto"/>
              <w:ind w:firstLine="342" w:firstLineChars="163"/>
              <w:rPr>
                <w:rFonts w:ascii="宋体" w:hAnsi="宋体" w:cs="宋体"/>
                <w:szCs w:val="21"/>
              </w:rPr>
            </w:pPr>
            <w:r>
              <w:rPr>
                <w:rFonts w:hint="eastAsia" w:ascii="宋体" w:hAnsi="宋体" w:cs="宋体"/>
                <w:szCs w:val="21"/>
              </w:rPr>
              <w:t>3.协助采购人进行工程决算等工作。</w:t>
            </w:r>
          </w:p>
          <w:p>
            <w:pPr>
              <w:spacing w:line="360" w:lineRule="auto"/>
              <w:ind w:firstLine="342" w:firstLineChars="163"/>
              <w:rPr>
                <w:rFonts w:ascii="宋体" w:hAnsi="宋体" w:cs="宋体"/>
                <w:szCs w:val="21"/>
              </w:rPr>
            </w:pPr>
            <w:r>
              <w:rPr>
                <w:rFonts w:hint="eastAsia" w:ascii="宋体" w:hAnsi="宋体" w:cs="宋体"/>
                <w:szCs w:val="21"/>
              </w:rPr>
              <w:t>（五）合同管理</w:t>
            </w:r>
          </w:p>
          <w:p>
            <w:pPr>
              <w:spacing w:line="360" w:lineRule="auto"/>
              <w:ind w:firstLine="342" w:firstLineChars="163"/>
              <w:rPr>
                <w:rFonts w:ascii="宋体" w:hAnsi="宋体" w:cs="宋体"/>
                <w:szCs w:val="21"/>
              </w:rPr>
            </w:pPr>
            <w:r>
              <w:rPr>
                <w:rFonts w:hint="eastAsia" w:ascii="宋体" w:hAnsi="宋体" w:cs="宋体"/>
                <w:szCs w:val="21"/>
              </w:rPr>
              <w:t>1.跟踪检查合同的执行情况，确保承建单位按时履约。</w:t>
            </w:r>
          </w:p>
          <w:p>
            <w:pPr>
              <w:spacing w:line="360" w:lineRule="auto"/>
              <w:ind w:firstLine="342" w:firstLineChars="163"/>
              <w:rPr>
                <w:rFonts w:ascii="宋体" w:hAnsi="宋体" w:cs="宋体"/>
                <w:szCs w:val="21"/>
              </w:rPr>
            </w:pPr>
            <w:r>
              <w:rPr>
                <w:rFonts w:hint="eastAsia" w:ascii="宋体" w:hAnsi="宋体" w:cs="宋体"/>
                <w:szCs w:val="21"/>
              </w:rPr>
              <w:t>2.依据合同，抓好工程建设目标责任的跟踪落实。如发现合同相关单位有违反承建合同约定的倾向，及时发出警示，防止各方偏离承建合同条款的事件发生。</w:t>
            </w:r>
          </w:p>
          <w:p>
            <w:pPr>
              <w:spacing w:line="360" w:lineRule="auto"/>
              <w:ind w:firstLine="342" w:firstLineChars="163"/>
              <w:rPr>
                <w:rFonts w:ascii="宋体" w:hAnsi="宋体" w:cs="宋体"/>
                <w:szCs w:val="21"/>
              </w:rPr>
            </w:pPr>
            <w:r>
              <w:rPr>
                <w:rFonts w:hint="eastAsia" w:ascii="宋体" w:hAnsi="宋体" w:cs="宋体"/>
                <w:szCs w:val="21"/>
              </w:rPr>
              <w:t>3.对合同工期的延误和延期、合同变更、索赔事项进行审核确认。</w:t>
            </w:r>
          </w:p>
          <w:p>
            <w:pPr>
              <w:spacing w:line="360" w:lineRule="auto"/>
              <w:ind w:firstLine="342" w:firstLineChars="163"/>
              <w:rPr>
                <w:rFonts w:ascii="宋体" w:hAnsi="宋体" w:cs="宋体"/>
                <w:szCs w:val="21"/>
              </w:rPr>
            </w:pPr>
            <w:r>
              <w:rPr>
                <w:rFonts w:hint="eastAsia" w:ascii="宋体" w:hAnsi="宋体" w:cs="宋体"/>
                <w:szCs w:val="21"/>
              </w:rPr>
              <w:t>4.核对合同约定需要完成内容与项目实际建设内容的一致性。</w:t>
            </w:r>
          </w:p>
          <w:p>
            <w:pPr>
              <w:spacing w:line="360" w:lineRule="auto"/>
              <w:ind w:firstLine="342" w:firstLineChars="163"/>
              <w:rPr>
                <w:rFonts w:ascii="宋体" w:hAnsi="宋体" w:cs="宋体"/>
                <w:szCs w:val="21"/>
              </w:rPr>
            </w:pPr>
            <w:r>
              <w:rPr>
                <w:rFonts w:hint="eastAsia" w:ascii="宋体" w:hAnsi="宋体" w:cs="宋体"/>
                <w:szCs w:val="21"/>
              </w:rPr>
              <w:t>（六）组织协调</w:t>
            </w:r>
          </w:p>
          <w:p>
            <w:pPr>
              <w:spacing w:line="360" w:lineRule="auto"/>
              <w:ind w:firstLine="342" w:firstLineChars="163"/>
              <w:rPr>
                <w:rFonts w:ascii="宋体" w:hAnsi="宋体" w:cs="宋体"/>
                <w:szCs w:val="21"/>
              </w:rPr>
            </w:pPr>
            <w:r>
              <w:rPr>
                <w:rFonts w:hint="eastAsia" w:ascii="宋体" w:hAnsi="宋体" w:cs="宋体"/>
                <w:szCs w:val="21"/>
              </w:rPr>
              <w:t>1.明确组织协调。监理单位承担着组织协调的任务，在项目建设过程中，监理单位负责协调采购人、承建单位的关系。</w:t>
            </w:r>
          </w:p>
          <w:p>
            <w:pPr>
              <w:spacing w:line="360" w:lineRule="auto"/>
              <w:ind w:firstLine="342" w:firstLineChars="163"/>
              <w:rPr>
                <w:rFonts w:ascii="宋体" w:hAnsi="宋体" w:cs="宋体"/>
                <w:szCs w:val="21"/>
              </w:rPr>
            </w:pPr>
            <w:r>
              <w:rPr>
                <w:rFonts w:hint="eastAsia" w:ascii="宋体" w:hAnsi="宋体" w:cs="宋体"/>
                <w:szCs w:val="21"/>
              </w:rPr>
              <w:t>2.明确沟通程序。按国家相关规范，采购人、承建单位各方对另一方的任何意见、建议、决定都必须首先通过监理单位传达，确保信息的对称。</w:t>
            </w:r>
          </w:p>
          <w:p>
            <w:pPr>
              <w:spacing w:line="360" w:lineRule="auto"/>
              <w:ind w:firstLine="342" w:firstLineChars="163"/>
              <w:rPr>
                <w:rFonts w:ascii="宋体" w:hAnsi="宋体" w:cs="宋体"/>
                <w:szCs w:val="21"/>
              </w:rPr>
            </w:pPr>
            <w:r>
              <w:rPr>
                <w:rFonts w:hint="eastAsia" w:ascii="宋体" w:hAnsi="宋体" w:cs="宋体"/>
                <w:szCs w:val="21"/>
              </w:rPr>
              <w:t>3.采取预控措施。明确各方责任界限，建立协调依据，为后续项目管理中遇到的协调事项提供所需的依据。</w:t>
            </w:r>
          </w:p>
          <w:p>
            <w:pPr>
              <w:spacing w:line="360" w:lineRule="auto"/>
              <w:ind w:firstLine="342" w:firstLineChars="163"/>
              <w:rPr>
                <w:rFonts w:ascii="宋体" w:hAnsi="宋体" w:cs="宋体"/>
                <w:szCs w:val="21"/>
              </w:rPr>
            </w:pPr>
            <w:r>
              <w:rPr>
                <w:rFonts w:hint="eastAsia" w:ascii="宋体" w:hAnsi="宋体" w:cs="宋体"/>
                <w:szCs w:val="21"/>
              </w:rPr>
              <w:t>（七）会议制度</w:t>
            </w:r>
          </w:p>
          <w:p>
            <w:pPr>
              <w:spacing w:line="360" w:lineRule="auto"/>
              <w:ind w:firstLine="342" w:firstLineChars="163"/>
              <w:rPr>
                <w:rFonts w:ascii="宋体" w:hAnsi="宋体" w:cs="宋体"/>
                <w:szCs w:val="21"/>
              </w:rPr>
            </w:pPr>
            <w:r>
              <w:rPr>
                <w:rFonts w:hint="eastAsia" w:ascii="宋体" w:hAnsi="宋体" w:cs="宋体"/>
                <w:szCs w:val="21"/>
              </w:rPr>
              <w:t>1.监理单位主持召开项目会议，通知采购人和承建单位相关负责人参加。</w:t>
            </w:r>
          </w:p>
          <w:p>
            <w:pPr>
              <w:spacing w:line="360" w:lineRule="auto"/>
              <w:ind w:firstLine="342" w:firstLineChars="163"/>
              <w:rPr>
                <w:rFonts w:ascii="宋体" w:hAnsi="宋体" w:cs="宋体"/>
                <w:szCs w:val="21"/>
              </w:rPr>
            </w:pPr>
            <w:r>
              <w:rPr>
                <w:rFonts w:hint="eastAsia" w:ascii="宋体" w:hAnsi="宋体" w:cs="宋体"/>
                <w:szCs w:val="21"/>
              </w:rPr>
              <w:t>2.监理单位负责编制会议纪要，将会议的重要决议体现在会议纪要中，与会各方代表须在会议纪要上签字，后续由监理单位与承建单位一同跟进会议事项的完成情况，对未能及时完成的事项，需及时上报采购人，并做好进一步的沟通确认。</w:t>
            </w:r>
          </w:p>
          <w:p>
            <w:pPr>
              <w:spacing w:line="360" w:lineRule="auto"/>
              <w:ind w:firstLine="342" w:firstLineChars="163"/>
              <w:rPr>
                <w:rFonts w:ascii="宋体" w:hAnsi="宋体" w:cs="宋体"/>
                <w:szCs w:val="21"/>
              </w:rPr>
            </w:pPr>
            <w:r>
              <w:rPr>
                <w:rFonts w:hint="eastAsia" w:ascii="宋体" w:hAnsi="宋体" w:cs="宋体"/>
                <w:szCs w:val="21"/>
              </w:rPr>
              <w:t>（八）监理总结</w:t>
            </w:r>
          </w:p>
          <w:p>
            <w:pPr>
              <w:spacing w:line="360" w:lineRule="auto"/>
              <w:ind w:firstLine="342" w:firstLineChars="163"/>
              <w:rPr>
                <w:rFonts w:ascii="宋体" w:hAnsi="宋体" w:cs="宋体"/>
                <w:szCs w:val="21"/>
              </w:rPr>
            </w:pPr>
            <w:r>
              <w:rPr>
                <w:rFonts w:hint="eastAsia" w:ascii="宋体" w:hAnsi="宋体" w:cs="宋体"/>
                <w:szCs w:val="21"/>
              </w:rPr>
              <w:t>1.依据项目设计方案、招标文件、投标文件和合同对项目建设过程中的质量、进度、投资、变更等内容进行评定。</w:t>
            </w:r>
          </w:p>
          <w:p>
            <w:pPr>
              <w:spacing w:line="360" w:lineRule="auto"/>
              <w:ind w:firstLine="342" w:firstLineChars="163"/>
              <w:rPr>
                <w:rFonts w:ascii="宋体" w:hAnsi="宋体" w:cs="宋体"/>
                <w:szCs w:val="21"/>
              </w:rPr>
            </w:pPr>
            <w:r>
              <w:rPr>
                <w:rFonts w:hint="eastAsia" w:ascii="宋体" w:hAnsi="宋体" w:cs="宋体"/>
                <w:szCs w:val="21"/>
              </w:rPr>
              <w:t>2.编制项目监理总结报告。</w:t>
            </w:r>
          </w:p>
          <w:p>
            <w:pPr>
              <w:spacing w:line="360" w:lineRule="auto"/>
              <w:ind w:firstLine="342" w:firstLineChars="163"/>
              <w:rPr>
                <w:rFonts w:ascii="宋体" w:hAnsi="宋体" w:cs="宋体"/>
                <w:szCs w:val="21"/>
              </w:rPr>
            </w:pPr>
            <w:r>
              <w:rPr>
                <w:rFonts w:hint="eastAsia" w:ascii="宋体" w:hAnsi="宋体" w:cs="宋体"/>
                <w:szCs w:val="21"/>
              </w:rPr>
              <w:t>（九）组织验收</w:t>
            </w:r>
          </w:p>
          <w:p>
            <w:pPr>
              <w:spacing w:line="360" w:lineRule="auto"/>
              <w:ind w:firstLine="342" w:firstLineChars="163"/>
              <w:rPr>
                <w:rFonts w:ascii="宋体" w:hAnsi="宋体" w:cs="宋体"/>
                <w:szCs w:val="21"/>
              </w:rPr>
            </w:pPr>
            <w:r>
              <w:rPr>
                <w:rFonts w:hint="eastAsia" w:ascii="宋体" w:hAnsi="宋体" w:cs="宋体"/>
                <w:szCs w:val="21"/>
              </w:rPr>
              <w:t>1.组织项目初步验收工作，配合采购人完成项目竣工验收。</w:t>
            </w:r>
          </w:p>
          <w:p>
            <w:pPr>
              <w:spacing w:line="360" w:lineRule="auto"/>
              <w:ind w:firstLine="342" w:firstLineChars="163"/>
              <w:rPr>
                <w:rFonts w:ascii="宋体" w:hAnsi="宋体" w:cs="宋体"/>
                <w:szCs w:val="21"/>
              </w:rPr>
            </w:pPr>
            <w:r>
              <w:rPr>
                <w:rFonts w:hint="eastAsia" w:ascii="宋体" w:hAnsi="宋体" w:cs="宋体"/>
                <w:szCs w:val="21"/>
              </w:rPr>
              <w:t>2.督促承建单位准备项目验收PPT，并做好项目系统平台的演示。</w:t>
            </w:r>
          </w:p>
          <w:p>
            <w:pPr>
              <w:spacing w:line="360" w:lineRule="auto"/>
              <w:ind w:firstLine="342" w:firstLineChars="163"/>
              <w:rPr>
                <w:rFonts w:ascii="宋体" w:hAnsi="宋体" w:cs="宋体"/>
                <w:szCs w:val="21"/>
              </w:rPr>
            </w:pPr>
            <w:r>
              <w:rPr>
                <w:rFonts w:hint="eastAsia" w:ascii="宋体" w:hAnsi="宋体" w:cs="宋体"/>
                <w:szCs w:val="21"/>
              </w:rPr>
              <w:t>3.做好项目验收会的签到准备工作，协助采购人制定验收流程，确定验收会议程。</w:t>
            </w:r>
          </w:p>
          <w:p>
            <w:pPr>
              <w:spacing w:line="360" w:lineRule="auto"/>
              <w:ind w:firstLine="342" w:firstLineChars="163"/>
              <w:rPr>
                <w:rFonts w:ascii="宋体" w:hAnsi="宋体" w:cs="宋体"/>
                <w:szCs w:val="21"/>
              </w:rPr>
            </w:pPr>
            <w:r>
              <w:rPr>
                <w:rFonts w:hint="eastAsia" w:ascii="宋体" w:hAnsi="宋体" w:cs="宋体"/>
                <w:szCs w:val="21"/>
              </w:rPr>
              <w:t>4.协助采购人做好项目验收的保障工作。</w:t>
            </w:r>
          </w:p>
          <w:p>
            <w:pPr>
              <w:spacing w:line="360" w:lineRule="auto"/>
              <w:ind w:firstLine="342" w:firstLineChars="163"/>
              <w:rPr>
                <w:rFonts w:ascii="宋体" w:hAnsi="宋体" w:cs="宋体"/>
                <w:szCs w:val="21"/>
              </w:rPr>
            </w:pPr>
            <w:r>
              <w:rPr>
                <w:rFonts w:hint="eastAsia" w:ascii="宋体" w:hAnsi="宋体" w:cs="宋体"/>
                <w:szCs w:val="21"/>
              </w:rPr>
              <w:t>5.记录验收意见，监督承建单位按照验收意见完善项目实施工作。</w:t>
            </w:r>
          </w:p>
          <w:p>
            <w:pPr>
              <w:spacing w:line="360" w:lineRule="auto"/>
              <w:ind w:firstLine="342" w:firstLineChars="163"/>
              <w:rPr>
                <w:rFonts w:ascii="宋体" w:hAnsi="宋体" w:cs="宋体"/>
                <w:szCs w:val="21"/>
              </w:rPr>
            </w:pPr>
            <w:r>
              <w:rPr>
                <w:rFonts w:hint="eastAsia" w:ascii="宋体" w:hAnsi="宋体" w:cs="宋体"/>
                <w:szCs w:val="21"/>
              </w:rPr>
              <w:t>6.形成项目验收报告。</w:t>
            </w:r>
          </w:p>
          <w:p>
            <w:pPr>
              <w:spacing w:line="360" w:lineRule="auto"/>
              <w:ind w:firstLine="342" w:firstLineChars="163"/>
              <w:rPr>
                <w:rFonts w:ascii="宋体" w:hAnsi="宋体" w:cs="宋体"/>
                <w:szCs w:val="21"/>
              </w:rPr>
            </w:pPr>
            <w:r>
              <w:rPr>
                <w:rFonts w:hint="eastAsia" w:ascii="宋体" w:hAnsi="宋体" w:cs="宋体"/>
                <w:szCs w:val="21"/>
              </w:rPr>
              <w:t>六、服务成果</w:t>
            </w:r>
          </w:p>
          <w:p>
            <w:pPr>
              <w:spacing w:line="360" w:lineRule="auto"/>
              <w:ind w:firstLine="342" w:firstLineChars="163"/>
              <w:rPr>
                <w:rFonts w:ascii="宋体" w:hAnsi="宋体" w:cs="宋体"/>
                <w:szCs w:val="21"/>
              </w:rPr>
            </w:pPr>
            <w:r>
              <w:rPr>
                <w:rFonts w:hint="eastAsia" w:ascii="宋体" w:hAnsi="宋体" w:cs="宋体"/>
                <w:szCs w:val="21"/>
              </w:rPr>
              <w:t>1.监理规划；</w:t>
            </w:r>
          </w:p>
          <w:p>
            <w:pPr>
              <w:spacing w:line="360" w:lineRule="auto"/>
              <w:ind w:firstLine="342" w:firstLineChars="163"/>
              <w:rPr>
                <w:rFonts w:ascii="宋体" w:hAnsi="宋体" w:cs="宋体"/>
                <w:szCs w:val="21"/>
              </w:rPr>
            </w:pPr>
            <w:r>
              <w:rPr>
                <w:rFonts w:hint="eastAsia" w:ascii="宋体" w:hAnsi="宋体" w:cs="宋体"/>
                <w:szCs w:val="21"/>
              </w:rPr>
              <w:t>2.监理实施细则；</w:t>
            </w:r>
          </w:p>
          <w:p>
            <w:pPr>
              <w:spacing w:line="360" w:lineRule="auto"/>
              <w:ind w:firstLine="342" w:firstLineChars="163"/>
              <w:rPr>
                <w:rFonts w:ascii="宋体" w:hAnsi="宋体" w:cs="宋体"/>
                <w:szCs w:val="21"/>
              </w:rPr>
            </w:pPr>
            <w:r>
              <w:rPr>
                <w:rFonts w:hint="eastAsia" w:ascii="宋体" w:hAnsi="宋体" w:cs="宋体"/>
                <w:szCs w:val="21"/>
              </w:rPr>
              <w:t>3.监理工作联系单；</w:t>
            </w:r>
          </w:p>
          <w:p>
            <w:pPr>
              <w:spacing w:line="360" w:lineRule="auto"/>
              <w:ind w:firstLine="342" w:firstLineChars="163"/>
              <w:rPr>
                <w:rFonts w:ascii="宋体" w:hAnsi="宋体" w:cs="宋体"/>
                <w:szCs w:val="21"/>
              </w:rPr>
            </w:pPr>
            <w:r>
              <w:rPr>
                <w:rFonts w:hint="eastAsia" w:ascii="宋体" w:hAnsi="宋体" w:cs="宋体"/>
                <w:szCs w:val="21"/>
              </w:rPr>
              <w:t>4.监理通知单；</w:t>
            </w:r>
          </w:p>
          <w:p>
            <w:pPr>
              <w:spacing w:line="360" w:lineRule="auto"/>
              <w:ind w:firstLine="342" w:firstLineChars="163"/>
              <w:rPr>
                <w:rFonts w:ascii="宋体" w:hAnsi="宋体" w:cs="宋体"/>
                <w:szCs w:val="21"/>
              </w:rPr>
            </w:pPr>
            <w:r>
              <w:rPr>
                <w:rFonts w:hint="eastAsia" w:ascii="宋体" w:hAnsi="宋体" w:cs="宋体"/>
                <w:szCs w:val="21"/>
              </w:rPr>
              <w:t>5.会议纪要；</w:t>
            </w:r>
          </w:p>
          <w:p>
            <w:pPr>
              <w:spacing w:line="360" w:lineRule="auto"/>
              <w:ind w:firstLine="342" w:firstLineChars="163"/>
              <w:rPr>
                <w:rFonts w:ascii="宋体" w:hAnsi="宋体" w:cs="宋体"/>
                <w:szCs w:val="21"/>
              </w:rPr>
            </w:pPr>
            <w:r>
              <w:rPr>
                <w:rFonts w:hint="eastAsia" w:ascii="宋体" w:hAnsi="宋体" w:cs="宋体"/>
                <w:szCs w:val="21"/>
              </w:rPr>
              <w:t>6.监理周报/月报；</w:t>
            </w:r>
          </w:p>
          <w:p>
            <w:pPr>
              <w:spacing w:line="360" w:lineRule="auto"/>
              <w:ind w:firstLine="342" w:firstLineChars="163"/>
              <w:rPr>
                <w:rFonts w:ascii="宋体" w:hAnsi="宋体" w:cs="宋体"/>
                <w:szCs w:val="21"/>
              </w:rPr>
            </w:pPr>
            <w:r>
              <w:rPr>
                <w:rFonts w:hint="eastAsia" w:ascii="宋体" w:hAnsi="宋体" w:cs="宋体"/>
                <w:szCs w:val="21"/>
              </w:rPr>
              <w:t>7.监理检查记录；</w:t>
            </w:r>
          </w:p>
          <w:p>
            <w:pPr>
              <w:spacing w:line="360" w:lineRule="auto"/>
              <w:ind w:firstLine="342" w:firstLineChars="163"/>
              <w:rPr>
                <w:rFonts w:ascii="宋体" w:hAnsi="宋体" w:cs="宋体"/>
                <w:szCs w:val="21"/>
              </w:rPr>
            </w:pPr>
            <w:r>
              <w:rPr>
                <w:rFonts w:hint="eastAsia" w:ascii="宋体" w:hAnsi="宋体" w:cs="宋体"/>
                <w:szCs w:val="21"/>
              </w:rPr>
              <w:t>8.监理审核意见；</w:t>
            </w:r>
          </w:p>
          <w:p>
            <w:pPr>
              <w:spacing w:line="360" w:lineRule="auto"/>
              <w:ind w:firstLine="342" w:firstLineChars="163"/>
              <w:rPr>
                <w:rFonts w:ascii="宋体" w:hAnsi="宋体" w:cs="宋体"/>
                <w:szCs w:val="21"/>
              </w:rPr>
            </w:pPr>
            <w:r>
              <w:rPr>
                <w:rFonts w:hint="eastAsia" w:ascii="宋体" w:hAnsi="宋体" w:cs="宋体"/>
                <w:szCs w:val="21"/>
              </w:rPr>
              <w:t>9.监理总结报告；</w:t>
            </w:r>
          </w:p>
          <w:p>
            <w:pPr>
              <w:spacing w:line="360" w:lineRule="auto"/>
              <w:ind w:firstLine="342" w:firstLineChars="163"/>
              <w:rPr>
                <w:rFonts w:ascii="宋体" w:hAnsi="宋体" w:cs="宋体"/>
                <w:szCs w:val="21"/>
              </w:rPr>
            </w:pPr>
            <w:r>
              <w:rPr>
                <w:rFonts w:hint="eastAsia" w:ascii="宋体" w:hAnsi="宋体" w:cs="宋体"/>
                <w:szCs w:val="21"/>
              </w:rPr>
              <w:t>10.验收意见；</w:t>
            </w:r>
          </w:p>
          <w:p>
            <w:pPr>
              <w:spacing w:line="360" w:lineRule="auto"/>
              <w:ind w:firstLine="342" w:firstLineChars="163"/>
              <w:rPr>
                <w:rFonts w:ascii="宋体" w:hAnsi="宋体" w:cs="宋体"/>
                <w:szCs w:val="21"/>
              </w:rPr>
            </w:pPr>
            <w:r>
              <w:rPr>
                <w:rFonts w:hint="eastAsia" w:ascii="宋体" w:hAnsi="宋体" w:cs="宋体"/>
                <w:szCs w:val="21"/>
              </w:rPr>
              <w:t>11.验收报告。</w:t>
            </w:r>
          </w:p>
        </w:tc>
      </w:tr>
      <w:tr>
        <w:tblPrEx>
          <w:tblLayout w:type="fixed"/>
          <w:tblCellMar>
            <w:top w:w="0" w:type="dxa"/>
            <w:left w:w="0" w:type="dxa"/>
            <w:bottom w:w="0" w:type="dxa"/>
            <w:right w:w="0" w:type="dxa"/>
          </w:tblCellMar>
        </w:tblPrEx>
        <w:trPr>
          <w:trHeight w:val="577" w:hRule="atLeast"/>
          <w:jc w:val="center"/>
        </w:trPr>
        <w:tc>
          <w:tcPr>
            <w:tcW w:w="4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商务条款</w:t>
            </w:r>
          </w:p>
        </w:tc>
        <w:tc>
          <w:tcPr>
            <w:tcW w:w="8453" w:type="dxa"/>
            <w:gridSpan w:val="3"/>
            <w:tcBorders>
              <w:top w:val="single" w:color="auto" w:sz="4" w:space="0"/>
              <w:left w:val="nil"/>
              <w:bottom w:val="single" w:color="auto" w:sz="4" w:space="0"/>
              <w:right w:val="single" w:color="auto" w:sz="4" w:space="0"/>
            </w:tcBorders>
            <w:vAlign w:val="center"/>
          </w:tcPr>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一、合同签订期：自中标通知书发出之日起15个工作日内。</w:t>
            </w:r>
          </w:p>
          <w:p>
            <w:pPr>
              <w:widowControl/>
              <w:shd w:val="clear" w:color="auto" w:fill="FFFFFF"/>
              <w:spacing w:line="360" w:lineRule="auto"/>
              <w:rPr>
                <w:rFonts w:ascii="宋体" w:hAnsi="宋体" w:cs="宋体"/>
                <w:szCs w:val="21"/>
                <w:shd w:val="clear" w:color="auto" w:fill="FFFFFF"/>
              </w:rPr>
            </w:pPr>
            <w:r>
              <w:rPr>
                <w:rFonts w:hAnsi="宋体" w:cs="宋体"/>
                <w:sz w:val="24"/>
              </w:rPr>
              <w:t>▲</w:t>
            </w:r>
            <w:r>
              <w:rPr>
                <w:rFonts w:hint="eastAsia" w:ascii="宋体" w:hAnsi="宋体" w:cs="宋体"/>
                <w:szCs w:val="21"/>
                <w:shd w:val="clear" w:color="auto" w:fill="FFFFFF"/>
              </w:rPr>
              <w:t>二、服务时间：自合同签订之日起至项目整体竣工验收通过之日止。</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三、服务地点：具体由采购人指定。</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四、售后服务要求：</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（一）质量保证期1年（项目通过终验之日起计）。</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（二）处理问题响应时间：接到采购人处理问题通知后2小时内到达采购人指定现场。</w:t>
            </w:r>
          </w:p>
          <w:p>
            <w:pPr>
              <w:widowControl/>
              <w:shd w:val="clear" w:color="auto" w:fill="FFFFFF"/>
              <w:spacing w:line="360" w:lineRule="auto"/>
              <w:rPr>
                <w:rFonts w:ascii="宋体" w:hAnsi="宋体" w:cs="宋体"/>
                <w:szCs w:val="21"/>
                <w:shd w:val="clear" w:color="auto" w:fill="FFFFFF"/>
              </w:rPr>
            </w:pPr>
            <w:r>
              <w:rPr>
                <w:rFonts w:hAnsi="宋体" w:cs="宋体"/>
                <w:sz w:val="24"/>
              </w:rPr>
              <w:t>▲</w:t>
            </w:r>
            <w:r>
              <w:rPr>
                <w:rFonts w:hint="eastAsia" w:ascii="宋体" w:hAnsi="宋体" w:cs="宋体"/>
                <w:szCs w:val="21"/>
                <w:shd w:val="clear" w:color="auto" w:fill="FFFFFF"/>
              </w:rPr>
              <w:t>五、其他要求：</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（一）报价必须含以下部分，包括：</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1.材料费：包含汇报材料及成果打印费用。</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2.有必要的保险费用和各项税金。</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（二）本项目报价包含完成上述服务内容所需的费用。如提供服务过程中产生额外费用，由成交单位自行负责。</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（三）付款方式：本项目多次付款。在正式签订监理合同后十五个工作日内，甲方支付乙方中标金额的50%首款，剩余款项按项目进度支付。</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（四）成交单位不得以任何形式向与本项目无关的其他单位或人员提供采购文件及所附的有关资料,如违反,必须赔偿甲方的所有损失，且甲方保留追究法律责任的权力。</w:t>
            </w:r>
          </w:p>
          <w:p>
            <w:pPr>
              <w:widowControl/>
              <w:shd w:val="clear" w:color="auto" w:fill="FFFFFF"/>
              <w:spacing w:line="360" w:lineRule="auto"/>
              <w:rPr>
                <w:rFonts w:ascii="宋体" w:hAnsi="宋体" w:cs="宋体"/>
                <w:szCs w:val="21"/>
                <w:shd w:val="clear" w:color="auto" w:fill="FFFFFF"/>
              </w:rPr>
            </w:pPr>
            <w:r>
              <w:rPr>
                <w:rFonts w:hint="eastAsia" w:ascii="宋体" w:hAnsi="宋体" w:cs="宋体"/>
                <w:szCs w:val="21"/>
                <w:shd w:val="clear" w:color="auto" w:fill="FFFFFF"/>
              </w:rPr>
              <w:t>（五）成交单位不得承担本项目工程建设的系统集成及相关实施工作。</w:t>
            </w:r>
          </w:p>
        </w:tc>
      </w:tr>
    </w:tbl>
    <w:p>
      <w:pPr>
        <w:spacing w:line="500" w:lineRule="exact"/>
        <w:ind w:firstLine="3373" w:firstLineChars="1200"/>
        <w:rPr>
          <w:rFonts w:ascii="宋体" w:hAnsi="宋体"/>
          <w:b/>
          <w:sz w:val="28"/>
          <w:szCs w:val="32"/>
        </w:rPr>
      </w:pPr>
    </w:p>
    <w:p>
      <w:pPr>
        <w:spacing w:line="500" w:lineRule="exact"/>
        <w:ind w:firstLine="3373" w:firstLineChars="1200"/>
        <w:rPr>
          <w:rFonts w:ascii="宋体" w:hAnsi="宋体"/>
          <w:b/>
          <w:sz w:val="32"/>
          <w:szCs w:val="32"/>
        </w:rPr>
      </w:pPr>
      <w:r>
        <w:rPr>
          <w:rFonts w:hint="eastAsia" w:ascii="宋体" w:hAnsi="宋体"/>
          <w:b/>
          <w:sz w:val="28"/>
          <w:szCs w:val="32"/>
        </w:rPr>
        <w:t>第四章 评审办法及成交标准</w:t>
      </w:r>
    </w:p>
    <w:p>
      <w:pPr>
        <w:pStyle w:val="17"/>
        <w:spacing w:before="72" w:beforeLines="30" w:after="72" w:afterLines="30"/>
        <w:ind w:firstLine="482" w:firstLineChars="200"/>
        <w:jc w:val="center"/>
        <w:rPr>
          <w:b/>
          <w:sz w:val="24"/>
          <w:szCs w:val="24"/>
        </w:rPr>
      </w:pPr>
      <w:r>
        <w:rPr>
          <w:rFonts w:hint="eastAsia"/>
          <w:b/>
          <w:sz w:val="24"/>
          <w:szCs w:val="24"/>
        </w:rPr>
        <w:t>综合评分法</w:t>
      </w:r>
    </w:p>
    <w:p>
      <w:pPr>
        <w:spacing w:line="400" w:lineRule="exact"/>
        <w:ind w:firstLine="422" w:firstLineChars="200"/>
        <w:rPr>
          <w:rFonts w:ascii="宋体" w:hAnsi="宋体" w:cs="宋体"/>
          <w:b/>
          <w:bCs/>
          <w:kern w:val="0"/>
          <w:szCs w:val="21"/>
        </w:rPr>
      </w:pPr>
      <w:r>
        <w:rPr>
          <w:rFonts w:hint="eastAsia" w:ascii="宋体" w:hAnsi="宋体" w:cs="宋体"/>
          <w:b/>
          <w:bCs/>
          <w:kern w:val="0"/>
          <w:szCs w:val="21"/>
        </w:rPr>
        <w:t>一、评审原则</w:t>
      </w:r>
    </w:p>
    <w:p>
      <w:pPr>
        <w:spacing w:line="400" w:lineRule="exact"/>
        <w:ind w:firstLine="420" w:firstLineChars="200"/>
        <w:rPr>
          <w:rFonts w:ascii="宋体" w:hAnsi="宋体" w:cs="宋体"/>
          <w:kern w:val="0"/>
          <w:szCs w:val="21"/>
        </w:rPr>
      </w:pPr>
      <w:r>
        <w:rPr>
          <w:rFonts w:hint="eastAsia" w:ascii="宋体" w:hAnsi="宋体" w:cs="宋体"/>
          <w:kern w:val="0"/>
          <w:szCs w:val="21"/>
        </w:rPr>
        <w:t>（一）评审小组构成：本项目的评审小组由采购人单位采购小组成员组成，成员人数应当为三人以上（含三人）单数。</w:t>
      </w:r>
    </w:p>
    <w:p>
      <w:pPr>
        <w:spacing w:line="400" w:lineRule="exact"/>
        <w:ind w:firstLine="420" w:firstLineChars="200"/>
        <w:rPr>
          <w:rFonts w:ascii="宋体" w:hAnsi="宋体" w:cs="宋体"/>
          <w:kern w:val="0"/>
          <w:szCs w:val="21"/>
        </w:rPr>
      </w:pPr>
      <w:r>
        <w:rPr>
          <w:rFonts w:hint="eastAsia" w:ascii="宋体" w:hAnsi="宋体" w:cs="宋体"/>
          <w:kern w:val="0"/>
          <w:szCs w:val="21"/>
        </w:rPr>
        <w:t>（二）评审依据：评审小组将以采购文件和响应文件为评定依据进行评审。</w:t>
      </w:r>
    </w:p>
    <w:p>
      <w:pPr>
        <w:spacing w:line="400" w:lineRule="exact"/>
        <w:ind w:firstLine="420" w:firstLineChars="200"/>
        <w:rPr>
          <w:rFonts w:ascii="宋体" w:hAnsi="宋体" w:cs="宋体"/>
          <w:kern w:val="0"/>
          <w:szCs w:val="21"/>
        </w:rPr>
      </w:pPr>
      <w:r>
        <w:rPr>
          <w:rFonts w:hint="eastAsia" w:ascii="宋体" w:hAnsi="宋体" w:cs="宋体"/>
          <w:kern w:val="0"/>
          <w:szCs w:val="21"/>
        </w:rPr>
        <w:t>（三）评审办法：采用百分制综合评分法。</w:t>
      </w:r>
    </w:p>
    <w:p>
      <w:pPr>
        <w:spacing w:line="400" w:lineRule="exact"/>
        <w:ind w:firstLine="422" w:firstLineChars="200"/>
        <w:rPr>
          <w:rFonts w:ascii="宋体" w:hAnsi="宋体" w:cs="宋体"/>
          <w:b/>
          <w:bCs/>
          <w:kern w:val="0"/>
          <w:szCs w:val="21"/>
        </w:rPr>
      </w:pPr>
      <w:r>
        <w:rPr>
          <w:rFonts w:hint="eastAsia" w:ascii="宋体" w:hAnsi="宋体" w:cs="宋体"/>
          <w:b/>
          <w:bCs/>
          <w:kern w:val="0"/>
          <w:szCs w:val="21"/>
        </w:rPr>
        <w:t>二、评审方法</w:t>
      </w:r>
    </w:p>
    <w:p>
      <w:pPr>
        <w:spacing w:line="400" w:lineRule="exact"/>
        <w:ind w:firstLine="420" w:firstLineChars="200"/>
        <w:rPr>
          <w:rFonts w:ascii="宋体" w:hAnsi="宋体" w:cs="宋体"/>
          <w:szCs w:val="21"/>
        </w:rPr>
      </w:pPr>
      <w:r>
        <w:rPr>
          <w:rFonts w:hint="eastAsia" w:ascii="宋体" w:hAnsi="宋体" w:cs="宋体"/>
          <w:szCs w:val="21"/>
        </w:rPr>
        <w:t>评审小组会对供应商的响应文件资格性和符合性进行检查，对合格的响应文件，采用百分制综合评分法进行评审。</w:t>
      </w:r>
    </w:p>
    <w:p>
      <w:pPr>
        <w:spacing w:line="400" w:lineRule="exact"/>
        <w:ind w:firstLine="420" w:firstLineChars="200"/>
        <w:rPr>
          <w:rFonts w:ascii="宋体" w:hAnsi="宋体" w:cs="宋体"/>
          <w:szCs w:val="21"/>
        </w:rPr>
      </w:pPr>
      <w:r>
        <w:rPr>
          <w:rFonts w:hint="eastAsia" w:ascii="宋体" w:hAnsi="宋体" w:cs="宋体"/>
          <w:szCs w:val="21"/>
        </w:rPr>
        <w:t>评审小组将以采购文件、响应文件为评审依据，提出最后总得分最高的供应商作为成交人。</w:t>
      </w:r>
    </w:p>
    <w:p>
      <w:pPr>
        <w:numPr>
          <w:ilvl w:val="0"/>
          <w:numId w:val="3"/>
        </w:numPr>
        <w:spacing w:line="400" w:lineRule="exact"/>
        <w:ind w:firstLine="422" w:firstLineChars="200"/>
        <w:rPr>
          <w:rFonts w:ascii="宋体" w:hAnsi="宋体" w:cs="宋体"/>
          <w:szCs w:val="21"/>
        </w:rPr>
      </w:pPr>
      <w:r>
        <w:rPr>
          <w:rFonts w:hint="eastAsia" w:ascii="宋体" w:hAnsi="宋体" w:cs="宋体"/>
          <w:b/>
          <w:bCs/>
          <w:kern w:val="0"/>
          <w:szCs w:val="21"/>
        </w:rPr>
        <w:t>评分细则</w:t>
      </w:r>
      <w:r>
        <w:rPr>
          <w:rFonts w:hint="eastAsia" w:ascii="宋体" w:hAnsi="宋体" w:cs="宋体"/>
          <w:szCs w:val="21"/>
        </w:rPr>
        <w:t>（按四舍五入取至百分位）</w:t>
      </w:r>
    </w:p>
    <w:p>
      <w:pPr>
        <w:spacing w:line="400" w:lineRule="exact"/>
        <w:ind w:firstLine="422" w:firstLineChars="200"/>
        <w:rPr>
          <w:rFonts w:ascii="宋体" w:hAnsi="宋体" w:cs="宋体"/>
          <w:b/>
          <w:kern w:val="0"/>
          <w:szCs w:val="21"/>
        </w:rPr>
      </w:pPr>
      <w:r>
        <w:rPr>
          <w:rFonts w:hint="eastAsia" w:ascii="宋体" w:hAnsi="宋体" w:cs="宋体"/>
          <w:b/>
          <w:kern w:val="0"/>
          <w:szCs w:val="21"/>
        </w:rPr>
        <w:t>（一）价格分………………………………………………10分</w:t>
      </w:r>
    </w:p>
    <w:p>
      <w:pPr>
        <w:adjustRightInd w:val="0"/>
        <w:spacing w:line="380" w:lineRule="exact"/>
        <w:ind w:firstLine="315" w:firstLineChars="150"/>
        <w:contextualSpacing/>
        <w:rPr>
          <w:rFonts w:ascii="宋体" w:hAnsi="宋体" w:cs="宋体"/>
          <w:bCs/>
          <w:kern w:val="0"/>
          <w:szCs w:val="21"/>
        </w:rPr>
      </w:pPr>
      <w:r>
        <w:rPr>
          <w:rFonts w:hint="eastAsia" w:ascii="宋体" w:hAnsi="宋体" w:cs="宋体"/>
          <w:bCs/>
          <w:kern w:val="0"/>
          <w:szCs w:val="21"/>
        </w:rPr>
        <w:t>1.以进入</w:t>
      </w:r>
      <w:r>
        <w:rPr>
          <w:rFonts w:hint="eastAsia" w:ascii="宋体" w:hAnsi="宋体"/>
          <w:kern w:val="0"/>
          <w:szCs w:val="21"/>
        </w:rPr>
        <w:t>综合评分</w:t>
      </w:r>
      <w:r>
        <w:rPr>
          <w:rFonts w:hint="eastAsia" w:ascii="宋体" w:hAnsi="宋体" w:cs="宋体"/>
          <w:bCs/>
          <w:kern w:val="0"/>
          <w:szCs w:val="21"/>
        </w:rPr>
        <w:t>的最低评标报价为10分。</w:t>
      </w:r>
    </w:p>
    <w:p>
      <w:pPr>
        <w:adjustRightInd w:val="0"/>
        <w:spacing w:line="380" w:lineRule="exact"/>
        <w:ind w:firstLine="315" w:firstLineChars="150"/>
        <w:contextualSpacing/>
        <w:rPr>
          <w:rFonts w:ascii="宋体" w:hAnsi="宋体" w:cs="宋体"/>
          <w:bCs/>
          <w:kern w:val="0"/>
          <w:szCs w:val="21"/>
        </w:rPr>
      </w:pPr>
      <w:r>
        <w:rPr>
          <w:rFonts w:hint="eastAsia" w:ascii="宋体" w:hAnsi="宋体" w:cs="宋体"/>
          <w:bCs/>
          <w:kern w:val="0"/>
          <w:szCs w:val="21"/>
        </w:rPr>
        <w:t>2.按照《财政部 工业和信息化部关于印发〈政府采购促进中小企业发展管理办法〉的通知》（财库〔2020〕46号）</w:t>
      </w:r>
      <w:r>
        <w:rPr>
          <w:rFonts w:hint="eastAsia" w:ascii="宋体" w:hAnsi="宋体" w:cs="宋体"/>
          <w:kern w:val="0"/>
          <w:szCs w:val="21"/>
        </w:rPr>
        <w:t>，供应商认定为小型和微型企业的（提供符合规定的有效声明函），并提供本企业制造的产品，由本企业承担工程、提供服务，或者提供其他小型、微型企业制造的产品的（不包括使用大型企业注册商标的产品），</w:t>
      </w:r>
      <w:r>
        <w:rPr>
          <w:rFonts w:hint="eastAsia" w:ascii="宋体" w:hAnsi="宋体" w:cs="宋体"/>
          <w:bCs/>
          <w:kern w:val="0"/>
          <w:szCs w:val="21"/>
        </w:rPr>
        <w:t>对投标价给予</w:t>
      </w:r>
      <w:r>
        <w:rPr>
          <w:rFonts w:hint="eastAsia" w:ascii="宋体" w:hAnsi="宋体" w:cs="方正仿宋简体"/>
          <w:bCs/>
          <w:kern w:val="0"/>
          <w:szCs w:val="21"/>
        </w:rPr>
        <w:t>10%</w:t>
      </w:r>
      <w:r>
        <w:rPr>
          <w:rFonts w:hint="eastAsia" w:ascii="宋体" w:hAnsi="宋体" w:cs="宋体"/>
          <w:bCs/>
          <w:kern w:val="0"/>
          <w:szCs w:val="21"/>
        </w:rPr>
        <w:t>的扣除，扣除后的价格为评标报价，即评标报价</w:t>
      </w:r>
      <w:r>
        <w:rPr>
          <w:rFonts w:hint="eastAsia" w:ascii="宋体" w:hAnsi="宋体" w:cs="方正仿宋简体"/>
          <w:bCs/>
          <w:kern w:val="0"/>
          <w:szCs w:val="21"/>
        </w:rPr>
        <w:t>=</w:t>
      </w:r>
      <w:r>
        <w:rPr>
          <w:rFonts w:hint="eastAsia" w:ascii="宋体" w:hAnsi="宋体" w:cs="宋体"/>
          <w:bCs/>
          <w:kern w:val="0"/>
          <w:szCs w:val="21"/>
        </w:rPr>
        <w:t>投标价</w:t>
      </w:r>
      <w:r>
        <w:rPr>
          <w:rFonts w:ascii="宋体" w:hAnsi="宋体"/>
          <w:bCs/>
          <w:kern w:val="0"/>
          <w:szCs w:val="21"/>
        </w:rPr>
        <w:t>×</w:t>
      </w:r>
      <w:r>
        <w:rPr>
          <w:rFonts w:hint="eastAsia" w:ascii="宋体" w:hAnsi="宋体" w:cs="宋体"/>
          <w:bCs/>
          <w:kern w:val="0"/>
          <w:szCs w:val="21"/>
        </w:rPr>
        <w:t>（</w:t>
      </w:r>
      <w:r>
        <w:rPr>
          <w:rFonts w:hint="eastAsia" w:ascii="宋体" w:hAnsi="宋体" w:cs="方正仿宋简体"/>
          <w:bCs/>
          <w:kern w:val="0"/>
          <w:szCs w:val="21"/>
        </w:rPr>
        <w:t>1-10%</w:t>
      </w:r>
      <w:r>
        <w:rPr>
          <w:rFonts w:hint="eastAsia" w:ascii="宋体" w:hAnsi="宋体" w:cs="宋体"/>
          <w:bCs/>
          <w:kern w:val="0"/>
          <w:szCs w:val="21"/>
        </w:rPr>
        <w:t>）；除上述</w:t>
      </w:r>
      <w:r>
        <w:rPr>
          <w:rFonts w:hint="eastAsia" w:ascii="宋体" w:hAnsi="宋体" w:cs="宋体"/>
          <w:kern w:val="0"/>
          <w:szCs w:val="21"/>
        </w:rPr>
        <w:t>情况外，评标报价</w:t>
      </w:r>
      <w:r>
        <w:rPr>
          <w:rFonts w:hint="eastAsia" w:ascii="宋体" w:hAnsi="宋体"/>
          <w:kern w:val="0"/>
          <w:szCs w:val="21"/>
        </w:rPr>
        <w:t>=</w:t>
      </w:r>
      <w:r>
        <w:rPr>
          <w:rFonts w:hint="eastAsia" w:ascii="宋体" w:hAnsi="宋体" w:cs="宋体"/>
          <w:kern w:val="0"/>
          <w:szCs w:val="21"/>
        </w:rPr>
        <w:t>投标价；</w:t>
      </w:r>
    </w:p>
    <w:p>
      <w:pPr>
        <w:spacing w:line="410" w:lineRule="exact"/>
        <w:ind w:firstLine="420" w:firstLineChars="200"/>
        <w:rPr>
          <w:rFonts w:ascii="宋体" w:hAnsi="宋体"/>
          <w:szCs w:val="21"/>
        </w:rPr>
      </w:pPr>
      <w:r>
        <w:rPr>
          <w:rFonts w:hint="eastAsia" w:ascii="宋体" w:hAnsi="宋体"/>
          <w:szCs w:val="21"/>
        </w:rPr>
        <w:t>供应商按《关于政府采购支持监狱企业发展有关问题的通知》</w:t>
      </w:r>
      <w:r>
        <w:rPr>
          <w:rFonts w:ascii="宋体" w:hAnsi="宋体"/>
          <w:szCs w:val="21"/>
        </w:rPr>
        <w:t>(</w:t>
      </w:r>
      <w:r>
        <w:rPr>
          <w:rFonts w:hint="eastAsia" w:ascii="宋体" w:hAnsi="宋体"/>
          <w:szCs w:val="21"/>
        </w:rPr>
        <w:t>财库</w:t>
      </w:r>
      <w:r>
        <w:rPr>
          <w:rFonts w:ascii="宋体" w:hAnsi="宋体"/>
          <w:szCs w:val="21"/>
        </w:rPr>
        <w:t>[2014]68</w:t>
      </w:r>
      <w:r>
        <w:rPr>
          <w:rFonts w:hint="eastAsia" w:ascii="宋体" w:hAnsi="宋体"/>
          <w:szCs w:val="21"/>
        </w:rPr>
        <w:t>号</w:t>
      </w:r>
      <w:r>
        <w:rPr>
          <w:rFonts w:ascii="宋体" w:hAnsi="宋体"/>
          <w:szCs w:val="21"/>
        </w:rPr>
        <w:t>)</w:t>
      </w:r>
      <w:r>
        <w:rPr>
          <w:rFonts w:hint="eastAsia" w:ascii="宋体" w:hAnsi="宋体"/>
          <w:szCs w:val="21"/>
        </w:rPr>
        <w:t>认定为监狱企业的，在政府采购活动中，监狱企业视同小型、微型企业。监狱企业参加政府采购活动时，应当提供由省级以上监狱管理局、戒毒管理局（含新疆生产建设兵团）出具的属于监狱企业的证明文件；</w:t>
      </w:r>
    </w:p>
    <w:p>
      <w:pPr>
        <w:adjustRightInd w:val="0"/>
        <w:spacing w:line="380" w:lineRule="exact"/>
        <w:ind w:firstLine="420" w:firstLineChars="200"/>
        <w:contextualSpacing/>
        <w:rPr>
          <w:rFonts w:ascii="宋体" w:hAnsi="宋体" w:cs="宋体"/>
          <w:bCs/>
          <w:kern w:val="0"/>
          <w:szCs w:val="21"/>
        </w:rPr>
      </w:pPr>
      <w:r>
        <w:rPr>
          <w:rFonts w:hint="eastAsia" w:ascii="宋体" w:hAnsi="宋体" w:cs="宋体"/>
          <w:bCs/>
          <w:kern w:val="0"/>
          <w:szCs w:val="21"/>
        </w:rPr>
        <w:t>供应商按《</w:t>
      </w:r>
      <w:r>
        <w:rPr>
          <w:rFonts w:ascii="宋体" w:hAnsi="宋体" w:cs="宋体"/>
          <w:bCs/>
          <w:kern w:val="0"/>
          <w:szCs w:val="21"/>
        </w:rPr>
        <w:t>关于促进残疾人就业政府采购政策的通知</w:t>
      </w:r>
      <w:r>
        <w:rPr>
          <w:rFonts w:hint="eastAsia" w:ascii="宋体" w:hAnsi="宋体" w:cs="宋体"/>
          <w:bCs/>
          <w:kern w:val="0"/>
          <w:szCs w:val="21"/>
        </w:rPr>
        <w:t>》</w:t>
      </w:r>
      <w:r>
        <w:rPr>
          <w:rFonts w:ascii="宋体" w:hAnsi="宋体" w:cs="宋体"/>
          <w:bCs/>
          <w:kern w:val="0"/>
          <w:szCs w:val="21"/>
        </w:rPr>
        <w:t>(</w:t>
      </w:r>
      <w:r>
        <w:rPr>
          <w:rFonts w:hint="eastAsia" w:ascii="宋体" w:hAnsi="宋体" w:cs="宋体"/>
          <w:bCs/>
          <w:kern w:val="0"/>
          <w:szCs w:val="21"/>
        </w:rPr>
        <w:t>财库〔2017〕141号</w:t>
      </w:r>
      <w:r>
        <w:rPr>
          <w:rFonts w:ascii="宋体" w:hAnsi="宋体" w:cs="宋体"/>
          <w:bCs/>
          <w:kern w:val="0"/>
          <w:szCs w:val="21"/>
        </w:rPr>
        <w:t>)</w:t>
      </w:r>
      <w:r>
        <w:rPr>
          <w:rFonts w:hint="eastAsia" w:ascii="宋体" w:hAnsi="宋体" w:cs="宋体"/>
          <w:bCs/>
          <w:kern w:val="0"/>
          <w:szCs w:val="21"/>
        </w:rPr>
        <w:t>认定为残疾人福利性单位的，在政府采购活动中，残疾人福利性单位视同小型、微型企业。符合条件的残疾人福利性单位在参加政府采购活动时，应当提供本通知规定的《残疾人福利性单位声明函》，并对声明的真实性负责。</w:t>
      </w:r>
    </w:p>
    <w:p>
      <w:pPr>
        <w:adjustRightInd w:val="0"/>
        <w:spacing w:line="380" w:lineRule="exact"/>
        <w:ind w:firstLine="420" w:firstLineChars="200"/>
        <w:contextualSpacing/>
        <w:rPr>
          <w:rFonts w:ascii="宋体" w:hAnsi="宋体" w:cs="宋体"/>
          <w:bCs/>
          <w:kern w:val="0"/>
          <w:szCs w:val="21"/>
        </w:rPr>
      </w:pPr>
      <w:r>
        <w:rPr>
          <w:rFonts w:hint="eastAsia" w:ascii="宋体" w:hAnsi="宋体" w:cs="宋体"/>
          <w:bCs/>
          <w:kern w:val="0"/>
          <w:szCs w:val="21"/>
        </w:rPr>
        <w:t>除上述情况外，评标报价=投标价。</w:t>
      </w:r>
    </w:p>
    <w:p>
      <w:pPr>
        <w:spacing w:line="360" w:lineRule="exact"/>
        <w:ind w:firstLine="290" w:firstLineChars="138"/>
        <w:rPr>
          <w:rFonts w:ascii="宋体" w:hAnsi="宋体" w:cs="Courier New"/>
          <w:bCs/>
          <w:kern w:val="0"/>
          <w:szCs w:val="21"/>
        </w:rPr>
      </w:pPr>
      <w:r>
        <w:rPr>
          <w:rFonts w:hint="eastAsia" w:ascii="宋体" w:hAnsi="宋体" w:cs="宋体"/>
          <w:bCs/>
          <w:kern w:val="0"/>
          <w:szCs w:val="21"/>
        </w:rPr>
        <w:t>3.</w:t>
      </w:r>
      <w:r>
        <w:rPr>
          <w:rFonts w:hint="eastAsia" w:ascii="宋体" w:hAnsi="宋体" w:cs="Courier New"/>
          <w:bCs/>
          <w:kern w:val="0"/>
          <w:szCs w:val="21"/>
        </w:rPr>
        <w:t>价格分计算公式：</w:t>
      </w:r>
    </w:p>
    <w:p>
      <w:pPr>
        <w:ind w:left="-134" w:leftChars="-64" w:firstLine="1890" w:firstLineChars="900"/>
        <w:jc w:val="left"/>
        <w:rPr>
          <w:rFonts w:ascii="宋体" w:hAnsi="宋体" w:cs="Courier New"/>
          <w:szCs w:val="21"/>
        </w:rPr>
      </w:pPr>
      <w:r>
        <w:rPr>
          <w:rFonts w:hint="eastAsia" w:ascii="宋体" w:hAnsi="宋体" w:cs="Courier New"/>
          <w:szCs w:val="21"/>
        </w:rPr>
        <w:t xml:space="preserve">某供应商价格得分 ＝  </w:t>
      </w:r>
      <w:r>
        <w:rPr>
          <w:rFonts w:ascii="宋体" w:hAnsi="宋体" w:cs="Courier New"/>
          <w:szCs w:val="21"/>
        </w:rPr>
        <w:fldChar w:fldCharType="begin"/>
      </w:r>
      <w:r>
        <w:rPr>
          <w:rFonts w:ascii="宋体" w:hAnsi="宋体" w:cs="Courier New"/>
          <w:szCs w:val="21"/>
        </w:rPr>
        <w:instrText xml:space="preserve"> QUOTE </w:instrText>
      </w:r>
      <w:r>
        <w:rPr>
          <w:rFonts w:hint="eastAsia"/>
          <w:position w:val="-24"/>
        </w:rPr>
        <w:drawing>
          <wp:inline distT="0" distB="0" distL="114300" distR="114300">
            <wp:extent cx="1653540" cy="4495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1653540" cy="449580"/>
                    </a:xfrm>
                    <a:prstGeom prst="rect">
                      <a:avLst/>
                    </a:prstGeom>
                    <a:noFill/>
                    <a:ln w="9525">
                      <a:noFill/>
                    </a:ln>
                  </pic:spPr>
                </pic:pic>
              </a:graphicData>
            </a:graphic>
          </wp:inline>
        </w:drawing>
      </w:r>
      <w:r>
        <w:rPr>
          <w:rFonts w:ascii="宋体" w:hAnsi="宋体" w:cs="Courier New"/>
          <w:szCs w:val="21"/>
        </w:rPr>
        <w:instrText xml:space="preserve"> </w:instrText>
      </w:r>
      <w:r>
        <w:rPr>
          <w:rFonts w:ascii="宋体" w:hAnsi="宋体" w:cs="Courier New"/>
          <w:szCs w:val="21"/>
        </w:rPr>
        <w:fldChar w:fldCharType="separate"/>
      </w:r>
      <w:r>
        <w:rPr>
          <w:rFonts w:hint="eastAsia"/>
          <w:position w:val="-24"/>
        </w:rPr>
        <w:drawing>
          <wp:inline distT="0" distB="0" distL="114300" distR="114300">
            <wp:extent cx="1653540" cy="4495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1653540" cy="449580"/>
                    </a:xfrm>
                    <a:prstGeom prst="rect">
                      <a:avLst/>
                    </a:prstGeom>
                    <a:noFill/>
                    <a:ln w="9525">
                      <a:noFill/>
                    </a:ln>
                  </pic:spPr>
                </pic:pic>
              </a:graphicData>
            </a:graphic>
          </wp:inline>
        </w:drawing>
      </w:r>
      <w:r>
        <w:rPr>
          <w:rFonts w:ascii="宋体" w:hAnsi="宋体" w:cs="Courier New"/>
          <w:szCs w:val="21"/>
        </w:rPr>
        <w:fldChar w:fldCharType="end"/>
      </w:r>
      <w:r>
        <w:rPr>
          <w:rFonts w:hint="eastAsia" w:ascii="宋体" w:hAnsi="宋体" w:cs="Courier New"/>
          <w:szCs w:val="21"/>
        </w:rPr>
        <w:t>×1</w:t>
      </w:r>
      <w:r>
        <w:rPr>
          <w:rFonts w:ascii="宋体" w:hAnsi="宋体" w:cs="Courier New"/>
          <w:szCs w:val="21"/>
        </w:rPr>
        <w:t>0</w:t>
      </w:r>
      <w:r>
        <w:rPr>
          <w:rFonts w:hint="eastAsia" w:ascii="宋体" w:hAnsi="宋体" w:cs="Courier New"/>
          <w:szCs w:val="21"/>
        </w:rPr>
        <w:t xml:space="preserve">分 </w:t>
      </w:r>
    </w:p>
    <w:p>
      <w:pPr>
        <w:adjustRightInd w:val="0"/>
        <w:spacing w:line="380" w:lineRule="exact"/>
        <w:ind w:firstLine="315" w:firstLineChars="150"/>
        <w:contextualSpacing/>
        <w:rPr>
          <w:rFonts w:ascii="宋体" w:hAnsi="宋体" w:cs="宋体"/>
          <w:bCs/>
          <w:kern w:val="0"/>
          <w:szCs w:val="21"/>
        </w:rPr>
      </w:pPr>
      <w:r>
        <w:rPr>
          <w:rFonts w:hint="eastAsia" w:ascii="宋体" w:hAnsi="宋体" w:cs="宋体"/>
          <w:bCs/>
          <w:kern w:val="0"/>
          <w:szCs w:val="21"/>
        </w:rPr>
        <w:t>4.特别说明：评审小组认为供应商的报价低于其他通过符合性审查供应商的报价，有可能影响产品质量或者不能诚信履约的，应当要求其在评标现场提供书面说明，必须提供规范的报价详细说明与依据以供评审。供应商不能证明报价合理性的，评审小组应当将其作为无效投标处理。</w:t>
      </w:r>
    </w:p>
    <w:p>
      <w:pPr>
        <w:spacing w:line="396" w:lineRule="exact"/>
        <w:ind w:firstLine="424" w:firstLineChars="201"/>
        <w:outlineLvl w:val="1"/>
        <w:rPr>
          <w:rFonts w:ascii="宋体" w:hAnsi="宋体"/>
          <w:b/>
          <w:szCs w:val="21"/>
        </w:rPr>
      </w:pPr>
      <w:r>
        <w:rPr>
          <w:rFonts w:hint="eastAsia" w:ascii="宋体" w:hAnsi="宋体"/>
          <w:b/>
          <w:szCs w:val="21"/>
        </w:rPr>
        <w:t>（二）服务方案分……………………………………………………………………………52分</w:t>
      </w:r>
    </w:p>
    <w:p>
      <w:pPr>
        <w:spacing w:line="400" w:lineRule="exact"/>
        <w:ind w:firstLine="420" w:firstLineChars="200"/>
        <w:rPr>
          <w:rFonts w:ascii="宋体" w:hAnsi="宋体" w:cs="宋体"/>
          <w:szCs w:val="21"/>
        </w:rPr>
      </w:pPr>
      <w:r>
        <w:rPr>
          <w:rFonts w:hint="eastAsia" w:ascii="宋体" w:hAnsi="宋体" w:cs="宋体"/>
          <w:szCs w:val="21"/>
        </w:rPr>
        <w:t>1.项目理解方案（满分</w:t>
      </w:r>
      <w:r>
        <w:rPr>
          <w:rFonts w:ascii="宋体" w:hAnsi="宋体" w:cs="宋体"/>
          <w:szCs w:val="21"/>
        </w:rPr>
        <w:t>1</w:t>
      </w:r>
      <w:r>
        <w:rPr>
          <w:rFonts w:hint="eastAsia" w:ascii="宋体" w:hAnsi="宋体" w:cs="宋体"/>
          <w:szCs w:val="21"/>
        </w:rPr>
        <w:t>5分）</w:t>
      </w:r>
    </w:p>
    <w:p>
      <w:pPr>
        <w:spacing w:line="400" w:lineRule="exact"/>
        <w:ind w:firstLine="420" w:firstLineChars="200"/>
        <w:rPr>
          <w:rFonts w:ascii="宋体" w:hAnsi="宋体" w:cs="宋体"/>
          <w:szCs w:val="21"/>
        </w:rPr>
      </w:pPr>
      <w:r>
        <w:rPr>
          <w:rFonts w:hint="eastAsia" w:ascii="宋体" w:hAnsi="宋体" w:cs="宋体"/>
          <w:szCs w:val="21"/>
        </w:rPr>
        <w:t>一档（3分）：供应商提供的项目理解方案包含对项目建设背景、建设现状、建设思路、系统功能、系统性能、总体框架及各系统的理解，理解不完整，不全面，方案针对性不强，方案简单的。</w:t>
      </w:r>
    </w:p>
    <w:p>
      <w:pPr>
        <w:spacing w:line="400" w:lineRule="exact"/>
        <w:ind w:firstLine="420" w:firstLineChars="200"/>
        <w:rPr>
          <w:rFonts w:ascii="宋体" w:hAnsi="宋体" w:cs="宋体"/>
          <w:szCs w:val="21"/>
        </w:rPr>
      </w:pPr>
      <w:r>
        <w:rPr>
          <w:rFonts w:hint="eastAsia" w:ascii="宋体" w:hAnsi="宋体" w:cs="宋体"/>
          <w:szCs w:val="21"/>
        </w:rPr>
        <w:t>二档（6分）：供应商提供的项目理解方案包含对项目建设背景、建设现状、建设思路、系统功能、系统性能、总体框架及各系统的理解，理解基本符合项目的建设要求，方案简单，基本可行，方案基本齐全符合审批要求的。</w:t>
      </w:r>
    </w:p>
    <w:p>
      <w:pPr>
        <w:spacing w:line="400" w:lineRule="exact"/>
        <w:ind w:firstLine="420" w:firstLineChars="200"/>
        <w:rPr>
          <w:rFonts w:ascii="宋体" w:hAnsi="宋体" w:cs="宋体"/>
          <w:szCs w:val="21"/>
        </w:rPr>
      </w:pPr>
      <w:r>
        <w:rPr>
          <w:rFonts w:hint="eastAsia" w:ascii="宋体" w:hAnsi="宋体" w:cs="宋体"/>
          <w:szCs w:val="21"/>
        </w:rPr>
        <w:t>三档（9分）：供应商提供的项目理解方案包含对项目建设背景、建设现状、建设思路、系统功能、系统性能、总体框架及各系统的理解，理解比较符合项目建设要求，思路清晰，方案合理、可行，内容比较完整的。</w:t>
      </w:r>
    </w:p>
    <w:p>
      <w:pPr>
        <w:spacing w:line="400" w:lineRule="exact"/>
        <w:ind w:firstLine="420" w:firstLineChars="200"/>
        <w:rPr>
          <w:rFonts w:ascii="宋体" w:hAnsi="宋体" w:cs="宋体"/>
          <w:szCs w:val="21"/>
        </w:rPr>
      </w:pPr>
      <w:r>
        <w:rPr>
          <w:rFonts w:hint="eastAsia" w:ascii="宋体" w:hAnsi="宋体" w:cs="宋体"/>
          <w:szCs w:val="21"/>
        </w:rPr>
        <w:t>四档（12分）：供应商提供的项目理解方案包含对项目建设背景、建设现状、建设思路、系统功能、系统性能、总体框架及各系统的理解，符合项目建设要求，思路清晰，方案合理、可行、全面、完整，针对性强、内容完整的。</w:t>
      </w:r>
    </w:p>
    <w:p>
      <w:pPr>
        <w:spacing w:line="400" w:lineRule="exact"/>
        <w:ind w:firstLine="420" w:firstLineChars="200"/>
        <w:rPr>
          <w:rFonts w:ascii="宋体" w:hAnsi="宋体" w:cs="宋体"/>
          <w:szCs w:val="21"/>
        </w:rPr>
      </w:pPr>
      <w:r>
        <w:rPr>
          <w:rFonts w:hint="eastAsia" w:ascii="宋体" w:hAnsi="宋体" w:cs="宋体"/>
          <w:szCs w:val="21"/>
        </w:rPr>
        <w:t>五档（15分）：供应商提供项目理解方案包含对项目建设背景、建设现状、建设思路、系统功能、系统性能、总体框架及各系统理解，完全符合项目建设要求，思路清晰，表述严谨简练，方案详细完整、针对性强，描述准确，操作性强的。</w:t>
      </w:r>
    </w:p>
    <w:p>
      <w:pPr>
        <w:spacing w:line="400" w:lineRule="exact"/>
        <w:ind w:firstLine="420" w:firstLineChars="200"/>
        <w:rPr>
          <w:rFonts w:ascii="宋体" w:hAnsi="宋体" w:cs="宋体"/>
          <w:szCs w:val="21"/>
        </w:rPr>
      </w:pPr>
      <w:r>
        <w:rPr>
          <w:rFonts w:hint="eastAsia" w:ascii="宋体" w:hAnsi="宋体" w:cs="宋体"/>
          <w:szCs w:val="21"/>
        </w:rPr>
        <w:t>2.项目监理服务方案（满分</w:t>
      </w:r>
      <w:r>
        <w:rPr>
          <w:rFonts w:ascii="宋体" w:hAnsi="宋体" w:cs="宋体"/>
          <w:szCs w:val="21"/>
        </w:rPr>
        <w:t>1</w:t>
      </w:r>
      <w:r>
        <w:rPr>
          <w:rFonts w:hint="eastAsia" w:ascii="宋体" w:hAnsi="宋体" w:cs="宋体"/>
          <w:szCs w:val="21"/>
        </w:rPr>
        <w:t>5分）</w:t>
      </w:r>
    </w:p>
    <w:p>
      <w:pPr>
        <w:spacing w:line="400" w:lineRule="exact"/>
        <w:ind w:firstLine="420" w:firstLineChars="200"/>
        <w:rPr>
          <w:rFonts w:ascii="宋体" w:hAnsi="宋体" w:cs="宋体"/>
          <w:szCs w:val="21"/>
        </w:rPr>
      </w:pPr>
      <w:r>
        <w:rPr>
          <w:rFonts w:hint="eastAsia" w:ascii="宋体" w:hAnsi="宋体" w:cs="宋体"/>
          <w:szCs w:val="21"/>
        </w:rPr>
        <w:t>一档（3分）：供应商提供的项目监理服务方案简单，针对本项目提出了质量控制、进度控制等服务措施。</w:t>
      </w:r>
    </w:p>
    <w:p>
      <w:pPr>
        <w:spacing w:line="400" w:lineRule="exact"/>
        <w:ind w:firstLine="420" w:firstLineChars="200"/>
        <w:rPr>
          <w:rFonts w:ascii="宋体" w:hAnsi="宋体" w:cs="宋体"/>
          <w:szCs w:val="21"/>
        </w:rPr>
      </w:pPr>
      <w:r>
        <w:rPr>
          <w:rFonts w:hint="eastAsia" w:ascii="宋体" w:hAnsi="宋体" w:cs="宋体"/>
          <w:szCs w:val="21"/>
        </w:rPr>
        <w:t>二档（6分）：在一档基础上，供应商提供的项目监理服务方案较详细，明确了服务管理的内容、范围，描述了进度控制、质量控制的目标、任务、方法、流程及措施等内容，理解合理、科学、具体。</w:t>
      </w:r>
    </w:p>
    <w:p>
      <w:pPr>
        <w:spacing w:line="400" w:lineRule="exact"/>
        <w:ind w:firstLine="420" w:firstLineChars="200"/>
        <w:rPr>
          <w:rFonts w:ascii="宋体" w:hAnsi="宋体" w:cs="宋体"/>
          <w:szCs w:val="21"/>
        </w:rPr>
      </w:pPr>
      <w:r>
        <w:rPr>
          <w:rFonts w:hint="eastAsia" w:ascii="宋体" w:hAnsi="宋体" w:cs="宋体"/>
          <w:szCs w:val="21"/>
        </w:rPr>
        <w:t>三档（9分）：在二档基础上，供应商提供的项目监理服务方案能针对监理过程中的重点难点提出具体措施，内容具体、针对性强、具备可操作性。</w:t>
      </w:r>
    </w:p>
    <w:p>
      <w:pPr>
        <w:spacing w:line="400" w:lineRule="exact"/>
        <w:ind w:firstLine="420" w:firstLineChars="200"/>
        <w:rPr>
          <w:rFonts w:ascii="宋体" w:hAnsi="宋体" w:cs="宋体"/>
          <w:szCs w:val="21"/>
        </w:rPr>
      </w:pPr>
      <w:r>
        <w:rPr>
          <w:rFonts w:hint="eastAsia" w:ascii="宋体" w:hAnsi="宋体" w:cs="宋体"/>
          <w:szCs w:val="21"/>
        </w:rPr>
        <w:t>四档（12分）：在三档基础上，供应商提供的项目监理服务方案能分析项目监理过程中存在的风险，并且提出具体的防范措施，内容理解详细、针对性强、具备可操作性。</w:t>
      </w:r>
    </w:p>
    <w:p>
      <w:pPr>
        <w:spacing w:line="400" w:lineRule="exact"/>
        <w:ind w:firstLine="420" w:firstLineChars="200"/>
        <w:rPr>
          <w:rFonts w:ascii="宋体" w:hAnsi="宋体" w:cs="宋体"/>
          <w:szCs w:val="21"/>
        </w:rPr>
      </w:pPr>
      <w:r>
        <w:rPr>
          <w:rFonts w:hint="eastAsia" w:ascii="宋体" w:hAnsi="宋体" w:cs="宋体"/>
          <w:szCs w:val="21"/>
        </w:rPr>
        <w:t>五档（</w:t>
      </w:r>
      <w:r>
        <w:rPr>
          <w:rFonts w:ascii="宋体" w:hAnsi="宋体" w:cs="宋体"/>
          <w:szCs w:val="21"/>
        </w:rPr>
        <w:t>1</w:t>
      </w:r>
      <w:r>
        <w:rPr>
          <w:rFonts w:hint="eastAsia" w:ascii="宋体" w:hAnsi="宋体" w:cs="宋体"/>
          <w:szCs w:val="21"/>
        </w:rPr>
        <w:t>5分）：在四档基础上，供应商提供的项目监理服务方案针对本项目提出了合理化建议，内容理解详细、针对性强、具备可操作性。</w:t>
      </w:r>
    </w:p>
    <w:p>
      <w:pPr>
        <w:spacing w:line="400" w:lineRule="exact"/>
        <w:ind w:firstLine="420" w:firstLineChars="200"/>
        <w:rPr>
          <w:rFonts w:ascii="宋体" w:hAnsi="宋体" w:cs="宋体"/>
          <w:szCs w:val="21"/>
        </w:rPr>
      </w:pPr>
      <w:r>
        <w:rPr>
          <w:rFonts w:hint="eastAsia" w:ascii="宋体" w:hAnsi="宋体" w:cs="宋体"/>
          <w:szCs w:val="21"/>
        </w:rPr>
        <w:t>3.监理工作方案（满分</w:t>
      </w:r>
      <w:r>
        <w:rPr>
          <w:rFonts w:ascii="宋体" w:hAnsi="宋体" w:cs="宋体"/>
          <w:szCs w:val="21"/>
        </w:rPr>
        <w:t>1</w:t>
      </w:r>
      <w:r>
        <w:rPr>
          <w:rFonts w:hint="eastAsia" w:ascii="宋体" w:hAnsi="宋体" w:cs="宋体"/>
          <w:szCs w:val="21"/>
        </w:rPr>
        <w:t>2分）</w:t>
      </w:r>
    </w:p>
    <w:p>
      <w:pPr>
        <w:spacing w:line="400" w:lineRule="exact"/>
        <w:ind w:firstLine="420" w:firstLineChars="200"/>
        <w:rPr>
          <w:rFonts w:ascii="宋体" w:hAnsi="宋体" w:cs="宋体"/>
          <w:szCs w:val="21"/>
        </w:rPr>
      </w:pPr>
      <w:r>
        <w:rPr>
          <w:rFonts w:hint="eastAsia" w:ascii="宋体" w:hAnsi="宋体" w:cs="宋体"/>
          <w:szCs w:val="21"/>
        </w:rPr>
        <w:t>一档（4分）：供应商提供的监理工作方案，方案提出的监理工作机构及管理制度具体，具有明确的工作方法及措施的，工作方法及措施合理、完整。</w:t>
      </w:r>
    </w:p>
    <w:p>
      <w:pPr>
        <w:spacing w:line="400" w:lineRule="exact"/>
        <w:ind w:firstLine="420" w:firstLineChars="200"/>
        <w:rPr>
          <w:rFonts w:ascii="宋体" w:hAnsi="宋体" w:cs="宋体"/>
          <w:szCs w:val="21"/>
        </w:rPr>
      </w:pPr>
      <w:r>
        <w:rPr>
          <w:rFonts w:hint="eastAsia" w:ascii="宋体" w:hAnsi="宋体" w:cs="宋体"/>
          <w:szCs w:val="21"/>
        </w:rPr>
        <w:t>二档（6分）：在一档基础上，供应商提供的监理工作方案提出的工作方法及措施涵盖需求调研阶段、实施阶段、试运行阶段、验收阶段等监理工作内容及措施详细、可操作性强、针对性强。</w:t>
      </w:r>
    </w:p>
    <w:p>
      <w:pPr>
        <w:spacing w:line="400" w:lineRule="exact"/>
        <w:ind w:firstLine="420" w:firstLineChars="200"/>
        <w:rPr>
          <w:rFonts w:ascii="宋体" w:hAnsi="宋体" w:cs="宋体"/>
          <w:szCs w:val="21"/>
        </w:rPr>
      </w:pPr>
      <w:r>
        <w:rPr>
          <w:rFonts w:hint="eastAsia" w:ascii="宋体" w:hAnsi="宋体" w:cs="宋体"/>
          <w:szCs w:val="21"/>
        </w:rPr>
        <w:t>三档（8分）：在二档基础上，供应商提供的监理工作方案提出的控制方案措施涵盖质量、进度、投资、变更、合同变更控制等具体内容的、针对性强、可操作性强，可以指导监理工作开展。</w:t>
      </w:r>
    </w:p>
    <w:p>
      <w:pPr>
        <w:spacing w:line="400" w:lineRule="exact"/>
        <w:ind w:firstLine="420" w:firstLineChars="200"/>
        <w:rPr>
          <w:rFonts w:ascii="宋体" w:hAnsi="宋体" w:cs="宋体"/>
          <w:szCs w:val="21"/>
        </w:rPr>
      </w:pPr>
      <w:r>
        <w:rPr>
          <w:rFonts w:hint="eastAsia" w:ascii="宋体" w:hAnsi="宋体" w:cs="宋体"/>
          <w:szCs w:val="21"/>
        </w:rPr>
        <w:t>四档（10分）：在三档基础上，供应商提供的监理工作方案提出的控制方案涵盖合同管理控制、组织协调控制、知识产权控制、知识产权保护控制、项目验收控制方案及措施等内容，且内容详细、针对性强、可操作性强，可以指导监理工作开展。</w:t>
      </w:r>
    </w:p>
    <w:p>
      <w:pPr>
        <w:spacing w:line="400" w:lineRule="exact"/>
        <w:ind w:firstLine="420" w:firstLineChars="200"/>
        <w:rPr>
          <w:rFonts w:ascii="宋体" w:hAnsi="宋体" w:cs="宋体"/>
          <w:szCs w:val="21"/>
        </w:rPr>
      </w:pPr>
      <w:r>
        <w:rPr>
          <w:rFonts w:hint="eastAsia" w:ascii="宋体" w:hAnsi="宋体" w:cs="宋体"/>
          <w:szCs w:val="21"/>
        </w:rPr>
        <w:t>五档（12分）：在四档基础上，供应商提供的监理工作方案针对本项目提出了具体的监理服务保障措施，且内容详细、针对性强、可操作性强，可以指导监理工作开展。</w:t>
      </w:r>
    </w:p>
    <w:p>
      <w:pPr>
        <w:spacing w:line="400" w:lineRule="exact"/>
        <w:ind w:firstLine="420" w:firstLineChars="200"/>
        <w:rPr>
          <w:rFonts w:ascii="宋体" w:hAnsi="宋体" w:cs="宋体"/>
          <w:szCs w:val="21"/>
        </w:rPr>
      </w:pPr>
      <w:r>
        <w:rPr>
          <w:rFonts w:hint="eastAsia" w:ascii="宋体" w:hAnsi="宋体" w:cs="宋体"/>
          <w:szCs w:val="21"/>
        </w:rPr>
        <w:t>4.后续服务方案（满分</w:t>
      </w:r>
      <w:r>
        <w:rPr>
          <w:rFonts w:ascii="宋体" w:hAnsi="宋体" w:cs="宋体"/>
          <w:szCs w:val="21"/>
        </w:rPr>
        <w:t>1</w:t>
      </w:r>
      <w:r>
        <w:rPr>
          <w:rFonts w:hint="eastAsia" w:ascii="宋体" w:hAnsi="宋体" w:cs="宋体"/>
          <w:szCs w:val="21"/>
        </w:rPr>
        <w:t>0分）</w:t>
      </w:r>
    </w:p>
    <w:p>
      <w:pPr>
        <w:spacing w:line="400" w:lineRule="exact"/>
        <w:ind w:firstLine="420" w:firstLineChars="200"/>
        <w:rPr>
          <w:rFonts w:ascii="宋体" w:hAnsi="宋体" w:cs="宋体"/>
          <w:szCs w:val="21"/>
        </w:rPr>
      </w:pPr>
      <w:r>
        <w:rPr>
          <w:rFonts w:hint="eastAsia" w:ascii="宋体" w:hAnsi="宋体" w:cs="宋体"/>
          <w:szCs w:val="21"/>
        </w:rPr>
        <w:t>一档（4分）：供应商提供的后续服务方案有后续服务承诺、服务内容等内容描述简单、符合项目采购需求。</w:t>
      </w:r>
    </w:p>
    <w:p>
      <w:pPr>
        <w:spacing w:line="400" w:lineRule="exact"/>
        <w:ind w:firstLine="420" w:firstLineChars="200"/>
        <w:rPr>
          <w:rFonts w:ascii="宋体" w:hAnsi="宋体" w:cs="宋体"/>
          <w:szCs w:val="21"/>
        </w:rPr>
      </w:pPr>
      <w:r>
        <w:rPr>
          <w:rFonts w:hint="eastAsia" w:ascii="宋体" w:hAnsi="宋体" w:cs="宋体"/>
          <w:szCs w:val="21"/>
        </w:rPr>
        <w:t>二档（6分）：在一档的基础上，供应商提供的后续服务方案有服务流程、响应与处置等内容描述清晰、合理，具备可行性。</w:t>
      </w:r>
    </w:p>
    <w:p>
      <w:pPr>
        <w:spacing w:line="400" w:lineRule="exact"/>
        <w:ind w:firstLine="420" w:firstLineChars="200"/>
        <w:rPr>
          <w:rFonts w:ascii="宋体" w:hAnsi="宋体" w:cs="宋体"/>
          <w:szCs w:val="21"/>
        </w:rPr>
      </w:pPr>
      <w:r>
        <w:rPr>
          <w:rFonts w:hint="eastAsia" w:ascii="宋体" w:hAnsi="宋体" w:cs="宋体"/>
          <w:szCs w:val="21"/>
        </w:rPr>
        <w:t>三档（8分）：在二档的基础上，供应商提供的后续服务方案有本地化服务、应急预案等内容详实、具备可操作性强。</w:t>
      </w:r>
    </w:p>
    <w:p>
      <w:pPr>
        <w:spacing w:line="400" w:lineRule="exact"/>
        <w:ind w:firstLine="420" w:firstLineChars="200"/>
        <w:rPr>
          <w:rFonts w:ascii="宋体" w:hAnsi="宋体" w:cs="宋体"/>
          <w:szCs w:val="21"/>
        </w:rPr>
      </w:pPr>
      <w:r>
        <w:rPr>
          <w:rFonts w:hint="eastAsia" w:ascii="宋体" w:hAnsi="宋体" w:cs="宋体"/>
          <w:szCs w:val="21"/>
        </w:rPr>
        <w:t>四档（10分）：在三档的基础上，供应商提供的后续服务方案能针对本项目实际情况提出后续服务内容的各项保障方法及措施，且内容齐全、详实、可操作性强，吻合实际。</w:t>
      </w:r>
    </w:p>
    <w:p>
      <w:pPr>
        <w:spacing w:line="396" w:lineRule="exact"/>
        <w:ind w:firstLine="424" w:firstLineChars="201"/>
        <w:outlineLvl w:val="1"/>
        <w:rPr>
          <w:rFonts w:ascii="宋体" w:hAnsi="宋体"/>
          <w:b/>
          <w:szCs w:val="21"/>
        </w:rPr>
      </w:pPr>
      <w:r>
        <w:rPr>
          <w:rFonts w:hint="eastAsia" w:ascii="宋体" w:hAnsi="宋体"/>
          <w:b/>
          <w:szCs w:val="21"/>
        </w:rPr>
        <w:t>（三）商务分…………………………………………………………………………………38分</w:t>
      </w:r>
    </w:p>
    <w:p>
      <w:pPr>
        <w:spacing w:line="396" w:lineRule="exact"/>
        <w:ind w:firstLine="424" w:firstLineChars="201"/>
        <w:outlineLvl w:val="2"/>
        <w:rPr>
          <w:rFonts w:ascii="宋体" w:hAnsi="宋体"/>
          <w:b/>
          <w:szCs w:val="21"/>
        </w:rPr>
      </w:pPr>
      <w:r>
        <w:rPr>
          <w:rFonts w:hint="eastAsia" w:ascii="宋体" w:hAnsi="宋体"/>
          <w:b/>
          <w:szCs w:val="21"/>
        </w:rPr>
        <w:t>1.信誉与业绩分（满分</w:t>
      </w:r>
      <w:r>
        <w:rPr>
          <w:rFonts w:ascii="宋体" w:hAnsi="宋体"/>
          <w:b/>
          <w:szCs w:val="21"/>
        </w:rPr>
        <w:t>2</w:t>
      </w:r>
      <w:r>
        <w:rPr>
          <w:rFonts w:hint="eastAsia" w:ascii="宋体" w:hAnsi="宋体"/>
          <w:b/>
          <w:szCs w:val="21"/>
        </w:rPr>
        <w:t>5分）</w:t>
      </w:r>
    </w:p>
    <w:p>
      <w:pPr>
        <w:spacing w:line="400" w:lineRule="exact"/>
        <w:ind w:firstLine="420" w:firstLineChars="200"/>
        <w:rPr>
          <w:rFonts w:ascii="宋体" w:hAnsi="宋体" w:cs="宋体"/>
          <w:szCs w:val="21"/>
        </w:rPr>
      </w:pPr>
      <w:r>
        <w:rPr>
          <w:rFonts w:hint="eastAsia" w:ascii="宋体" w:hAnsi="宋体" w:cs="宋体"/>
          <w:szCs w:val="21"/>
        </w:rPr>
        <w:t>（1）供应商通过ISO 9001质量管理体系认证、ISO14001环境管理体系认证、 ISO45001职业健康安全管理体系认证、ISO/IEC 27001信息安全管理体系认证、社会责任管理体系认证、GB/T 35770合规管理体系认证、GB/T 27922-2011 售后服务认证的，且认证范围涵盖计算机软件系统类、或信息系统类、或网络安全工程类、或信息系统工程监理业务等内容的，每个证书符合1个认证范围的得0.5分，每个证书满分2分。本项满分14分（投标响应文件中提供证书复印件）</w:t>
      </w:r>
    </w:p>
    <w:p>
      <w:pPr>
        <w:spacing w:line="400" w:lineRule="exact"/>
        <w:ind w:firstLine="420" w:firstLineChars="200"/>
        <w:rPr>
          <w:rFonts w:ascii="宋体" w:hAnsi="宋体" w:cs="宋体"/>
          <w:szCs w:val="21"/>
        </w:rPr>
      </w:pPr>
      <w:r>
        <w:rPr>
          <w:rFonts w:hint="eastAsia" w:ascii="宋体" w:hAnsi="宋体" w:cs="宋体"/>
          <w:szCs w:val="21"/>
        </w:rPr>
        <w:t>（2）供应商通过ISO/IEC 20000信息技术服务管理体系认证证书的，且证书认证范围至少包含向外部客户提供信息系统咨询、信息技术咨询服务、信息系统工程监理业务等内容的，每符合1个认证范围的得1分，满分2分。（投标响应文件中提供证书复印件）</w:t>
      </w:r>
    </w:p>
    <w:p>
      <w:pPr>
        <w:spacing w:line="400" w:lineRule="exact"/>
        <w:ind w:firstLine="420" w:firstLineChars="200"/>
        <w:rPr>
          <w:rFonts w:ascii="宋体" w:hAnsi="宋体" w:cs="宋体"/>
          <w:szCs w:val="21"/>
        </w:rPr>
      </w:pPr>
      <w:r>
        <w:rPr>
          <w:rFonts w:hint="eastAsia" w:ascii="宋体" w:hAnsi="宋体" w:cs="宋体"/>
          <w:szCs w:val="21"/>
        </w:rPr>
        <w:t>（3）供应商获得市级或省级以上政府相关主管部门颁发的奖项或荣誉或证书的，例如守合同重信用企业、瞪羚企业、纳税信用“5连A企业”、大数据深度融合重点示范项目或大数据专业服务机构等荣誉证书，每个得1分，满分3分。（投标响应文件中提供证书复印件）</w:t>
      </w:r>
    </w:p>
    <w:p>
      <w:pPr>
        <w:spacing w:line="400" w:lineRule="exact"/>
        <w:ind w:firstLine="420" w:firstLineChars="200"/>
        <w:rPr>
          <w:rFonts w:ascii="宋体" w:hAnsi="宋体" w:cs="宋体"/>
          <w:szCs w:val="21"/>
        </w:rPr>
      </w:pPr>
      <w:r>
        <w:rPr>
          <w:rFonts w:hint="eastAsia" w:ascii="宋体" w:hAnsi="宋体" w:cs="宋体"/>
          <w:szCs w:val="21"/>
        </w:rPr>
        <w:t>（4）供应商具有信息安全服务资质认证证书（信息安全风险评估服务资质）的得2分，满分2分。（投标响应文件中提供证书复印件）</w:t>
      </w:r>
    </w:p>
    <w:p>
      <w:pPr>
        <w:spacing w:line="400" w:lineRule="exact"/>
        <w:ind w:firstLine="420" w:firstLineChars="200"/>
        <w:rPr>
          <w:rFonts w:ascii="宋体" w:hAnsi="宋体" w:cs="宋体"/>
          <w:szCs w:val="21"/>
        </w:rPr>
      </w:pPr>
      <w:r>
        <w:rPr>
          <w:rFonts w:hint="eastAsia" w:ascii="宋体" w:hAnsi="宋体" w:cs="宋体"/>
          <w:szCs w:val="21"/>
        </w:rPr>
        <w:t>（5）供应商具有音视频集成工程企业资质等级证书的得2分，满分2分。（投标响应文件中提供证书复印件）</w:t>
      </w:r>
    </w:p>
    <w:p>
      <w:pPr>
        <w:spacing w:line="400" w:lineRule="exact"/>
        <w:ind w:firstLine="420" w:firstLineChars="200"/>
        <w:rPr>
          <w:rFonts w:ascii="宋体" w:hAnsi="宋体" w:cs="宋体"/>
          <w:szCs w:val="21"/>
        </w:rPr>
      </w:pPr>
      <w:r>
        <w:rPr>
          <w:rFonts w:hint="eastAsia" w:ascii="宋体" w:hAnsi="宋体" w:cs="宋体"/>
          <w:szCs w:val="21"/>
        </w:rPr>
        <w:t>（6）供应商自2020年1月1日以来具有信息化项目监理业绩的，每个0.5分，满分2分。（提供中标通知书或合同复印件并加盖公章）</w:t>
      </w:r>
    </w:p>
    <w:p>
      <w:pPr>
        <w:spacing w:line="396" w:lineRule="exact"/>
        <w:ind w:firstLine="424" w:firstLineChars="201"/>
        <w:outlineLvl w:val="2"/>
        <w:rPr>
          <w:rFonts w:ascii="宋体" w:hAnsi="宋体"/>
          <w:b/>
          <w:szCs w:val="21"/>
        </w:rPr>
      </w:pPr>
      <w:r>
        <w:rPr>
          <w:rFonts w:hint="eastAsia" w:ascii="宋体" w:hAnsi="宋体"/>
          <w:b/>
          <w:szCs w:val="21"/>
        </w:rPr>
        <w:t>2.团队人员分（满分13分）</w:t>
      </w:r>
    </w:p>
    <w:p>
      <w:pPr>
        <w:spacing w:line="400" w:lineRule="exact"/>
        <w:ind w:firstLine="420" w:firstLineChars="200"/>
        <w:rPr>
          <w:rFonts w:ascii="宋体" w:hAnsi="宋体" w:cs="宋体"/>
          <w:szCs w:val="21"/>
        </w:rPr>
      </w:pPr>
      <w:r>
        <w:rPr>
          <w:rFonts w:hint="eastAsia" w:ascii="宋体" w:hAnsi="宋体" w:cs="宋体"/>
          <w:szCs w:val="21"/>
        </w:rPr>
        <w:t>（1）拟投入本项目总监理工程师持信息系统监理师证书，同时具有以下证书的，每项得1分，满分4分。</w:t>
      </w:r>
    </w:p>
    <w:p>
      <w:pPr>
        <w:numPr>
          <w:ilvl w:val="0"/>
          <w:numId w:val="4"/>
        </w:numPr>
        <w:spacing w:line="400" w:lineRule="exact"/>
        <w:rPr>
          <w:rFonts w:ascii="宋体" w:hAnsi="宋体" w:cs="宋体"/>
          <w:szCs w:val="21"/>
        </w:rPr>
      </w:pPr>
      <w:r>
        <w:rPr>
          <w:rFonts w:hint="eastAsia" w:ascii="宋体" w:hAnsi="宋体" w:cs="宋体"/>
          <w:szCs w:val="21"/>
        </w:rPr>
        <w:t>具有【工程师】（专业：通信工程相关专业或计算机相关专业）或以上职称；</w:t>
      </w:r>
    </w:p>
    <w:p>
      <w:pPr>
        <w:numPr>
          <w:ilvl w:val="0"/>
          <w:numId w:val="4"/>
        </w:numPr>
        <w:spacing w:line="400" w:lineRule="exact"/>
        <w:rPr>
          <w:rFonts w:ascii="宋体" w:hAnsi="宋体" w:cs="宋体"/>
          <w:szCs w:val="21"/>
        </w:rPr>
      </w:pPr>
      <w:r>
        <w:rPr>
          <w:rFonts w:hint="eastAsia" w:ascii="宋体" w:hAnsi="宋体" w:cs="宋体"/>
          <w:szCs w:val="21"/>
        </w:rPr>
        <w:t>具有信息系统项目管理师证书；</w:t>
      </w:r>
    </w:p>
    <w:p>
      <w:pPr>
        <w:numPr>
          <w:ilvl w:val="0"/>
          <w:numId w:val="4"/>
        </w:numPr>
        <w:spacing w:line="400" w:lineRule="exact"/>
        <w:rPr>
          <w:rFonts w:ascii="宋体" w:hAnsi="宋体" w:cs="宋体"/>
          <w:szCs w:val="21"/>
        </w:rPr>
      </w:pPr>
      <w:r>
        <w:rPr>
          <w:rFonts w:hint="eastAsia" w:ascii="宋体" w:hAnsi="宋体" w:cs="宋体"/>
          <w:szCs w:val="21"/>
        </w:rPr>
        <w:t>具有智能化系统工程师(高级)证书；</w:t>
      </w:r>
    </w:p>
    <w:p>
      <w:pPr>
        <w:numPr>
          <w:ilvl w:val="0"/>
          <w:numId w:val="4"/>
        </w:numPr>
        <w:spacing w:line="400" w:lineRule="exact"/>
        <w:rPr>
          <w:rFonts w:ascii="宋体" w:hAnsi="宋体" w:cs="宋体"/>
          <w:szCs w:val="21"/>
        </w:rPr>
      </w:pPr>
      <w:r>
        <w:rPr>
          <w:rFonts w:hint="eastAsia" w:ascii="宋体" w:hAnsi="宋体" w:cs="宋体"/>
          <w:szCs w:val="21"/>
        </w:rPr>
        <w:t>具有高级网络信息安全工程师证书；</w:t>
      </w:r>
    </w:p>
    <w:p>
      <w:pPr>
        <w:spacing w:line="400" w:lineRule="exact"/>
        <w:ind w:firstLine="420" w:firstLineChars="200"/>
        <w:rPr>
          <w:rFonts w:ascii="宋体" w:hAnsi="宋体" w:cs="宋体"/>
          <w:szCs w:val="21"/>
        </w:rPr>
      </w:pPr>
      <w:r>
        <w:rPr>
          <w:rFonts w:hint="eastAsia" w:ascii="宋体" w:hAnsi="宋体" w:cs="宋体"/>
          <w:szCs w:val="21"/>
        </w:rPr>
        <w:t>（2）拟投入本项目总监理工程师代表持信息系统监理师证书，同时具有以下证书的，每项得1分，满分4分。</w:t>
      </w:r>
    </w:p>
    <w:p>
      <w:pPr>
        <w:numPr>
          <w:ilvl w:val="0"/>
          <w:numId w:val="5"/>
        </w:numPr>
        <w:spacing w:line="400" w:lineRule="exact"/>
        <w:rPr>
          <w:rFonts w:ascii="宋体" w:hAnsi="宋体" w:cs="宋体"/>
          <w:szCs w:val="21"/>
        </w:rPr>
      </w:pPr>
      <w:r>
        <w:rPr>
          <w:rFonts w:hint="eastAsia" w:ascii="宋体" w:hAnsi="宋体" w:cs="宋体"/>
          <w:szCs w:val="21"/>
        </w:rPr>
        <w:t>具有【工程师】（专业：通信工程相关专业或计算机相关专业）或以上职称证书；</w:t>
      </w:r>
    </w:p>
    <w:p>
      <w:pPr>
        <w:numPr>
          <w:ilvl w:val="0"/>
          <w:numId w:val="5"/>
        </w:numPr>
        <w:spacing w:line="400" w:lineRule="exact"/>
        <w:rPr>
          <w:rFonts w:ascii="宋体" w:hAnsi="宋体" w:cs="宋体"/>
          <w:szCs w:val="21"/>
        </w:rPr>
      </w:pPr>
      <w:r>
        <w:rPr>
          <w:rFonts w:hint="eastAsia" w:ascii="宋体" w:hAnsi="宋体" w:cs="宋体"/>
          <w:szCs w:val="21"/>
        </w:rPr>
        <w:t>具有软考信息安全工程师证书；</w:t>
      </w:r>
    </w:p>
    <w:p>
      <w:pPr>
        <w:numPr>
          <w:ilvl w:val="0"/>
          <w:numId w:val="5"/>
        </w:numPr>
        <w:spacing w:line="400" w:lineRule="exact"/>
        <w:rPr>
          <w:rFonts w:ascii="宋体" w:hAnsi="宋体" w:cs="宋体"/>
          <w:szCs w:val="21"/>
        </w:rPr>
      </w:pPr>
      <w:r>
        <w:rPr>
          <w:rFonts w:hint="eastAsia" w:ascii="宋体" w:hAnsi="宋体" w:cs="宋体"/>
          <w:szCs w:val="21"/>
        </w:rPr>
        <w:t>具有咨询工程师（投资）证书；</w:t>
      </w:r>
    </w:p>
    <w:p>
      <w:pPr>
        <w:numPr>
          <w:ilvl w:val="0"/>
          <w:numId w:val="5"/>
        </w:numPr>
        <w:spacing w:line="400" w:lineRule="exact"/>
        <w:rPr>
          <w:rFonts w:ascii="宋体" w:hAnsi="宋体" w:cs="宋体"/>
          <w:szCs w:val="21"/>
        </w:rPr>
      </w:pPr>
      <w:r>
        <w:rPr>
          <w:rFonts w:hint="eastAsia" w:ascii="宋体" w:hAnsi="宋体" w:cs="宋体"/>
          <w:szCs w:val="21"/>
        </w:rPr>
        <w:t>具有高级数据库管理工程师证书；</w:t>
      </w:r>
    </w:p>
    <w:p>
      <w:pPr>
        <w:spacing w:line="400" w:lineRule="exact"/>
        <w:ind w:firstLine="420" w:firstLineChars="200"/>
        <w:rPr>
          <w:rFonts w:ascii="宋体" w:hAnsi="宋体" w:cs="宋体"/>
          <w:szCs w:val="21"/>
        </w:rPr>
      </w:pPr>
      <w:r>
        <w:rPr>
          <w:rFonts w:hint="eastAsia" w:ascii="宋体" w:hAnsi="宋体" w:cs="宋体"/>
          <w:szCs w:val="21"/>
        </w:rPr>
        <w:t>（3）拟投入项目组其他成员配备（除总监理工程师和总监理工程师代表外）持有信息系统监理师证书，同时具有以下资质证书的，每项得1分，满分5分。</w:t>
      </w:r>
    </w:p>
    <w:p>
      <w:pPr>
        <w:numPr>
          <w:ilvl w:val="0"/>
          <w:numId w:val="6"/>
        </w:numPr>
        <w:spacing w:line="400" w:lineRule="exact"/>
        <w:rPr>
          <w:rFonts w:ascii="宋体" w:hAnsi="宋体" w:cs="宋体"/>
          <w:szCs w:val="21"/>
        </w:rPr>
      </w:pPr>
      <w:r>
        <w:rPr>
          <w:rFonts w:hint="eastAsia" w:ascii="宋体" w:hAnsi="宋体" w:cs="宋体"/>
          <w:szCs w:val="21"/>
        </w:rPr>
        <w:t>具有【工程师】（专业：通信工程相关专业或计算机相关专业）或以上职称证书</w:t>
      </w:r>
    </w:p>
    <w:p>
      <w:pPr>
        <w:numPr>
          <w:ilvl w:val="0"/>
          <w:numId w:val="6"/>
        </w:numPr>
        <w:spacing w:line="400" w:lineRule="exact"/>
        <w:rPr>
          <w:rFonts w:ascii="宋体" w:hAnsi="宋体" w:cs="宋体"/>
          <w:szCs w:val="21"/>
        </w:rPr>
      </w:pPr>
      <w:r>
        <w:rPr>
          <w:rFonts w:hint="eastAsia" w:ascii="宋体" w:hAnsi="宋体" w:cs="宋体"/>
          <w:szCs w:val="21"/>
        </w:rPr>
        <w:t>具有软件评测师证书；</w:t>
      </w:r>
    </w:p>
    <w:p>
      <w:pPr>
        <w:numPr>
          <w:ilvl w:val="0"/>
          <w:numId w:val="6"/>
        </w:numPr>
        <w:spacing w:line="400" w:lineRule="exact"/>
        <w:rPr>
          <w:rFonts w:ascii="宋体" w:hAnsi="宋体" w:cs="宋体"/>
          <w:szCs w:val="21"/>
        </w:rPr>
      </w:pPr>
      <w:r>
        <w:rPr>
          <w:rFonts w:hint="eastAsia" w:ascii="宋体" w:hAnsi="宋体" w:cs="宋体"/>
          <w:szCs w:val="21"/>
        </w:rPr>
        <w:t>具有注册造价工程师（专业：安装）证书；</w:t>
      </w:r>
    </w:p>
    <w:p>
      <w:pPr>
        <w:numPr>
          <w:ilvl w:val="0"/>
          <w:numId w:val="6"/>
        </w:numPr>
        <w:spacing w:line="400" w:lineRule="exact"/>
        <w:rPr>
          <w:rFonts w:ascii="宋体" w:hAnsi="宋体" w:cs="宋体"/>
          <w:szCs w:val="21"/>
        </w:rPr>
      </w:pPr>
      <w:r>
        <w:rPr>
          <w:rFonts w:hint="eastAsia" w:ascii="宋体" w:hAnsi="宋体" w:cs="宋体"/>
          <w:szCs w:val="21"/>
        </w:rPr>
        <w:t>具有信息安全保障人员认证证书（认证方向：风险管理）；</w:t>
      </w:r>
    </w:p>
    <w:p>
      <w:pPr>
        <w:numPr>
          <w:ilvl w:val="0"/>
          <w:numId w:val="6"/>
        </w:numPr>
        <w:spacing w:line="400" w:lineRule="exact"/>
        <w:rPr>
          <w:rFonts w:ascii="宋体" w:hAnsi="宋体" w:cs="宋体"/>
          <w:szCs w:val="21"/>
        </w:rPr>
      </w:pPr>
      <w:r>
        <w:rPr>
          <w:rFonts w:hint="eastAsia" w:ascii="宋体" w:hAnsi="宋体" w:cs="宋体"/>
          <w:szCs w:val="21"/>
        </w:rPr>
        <w:t>具有IT服务项目经理证书；</w:t>
      </w:r>
    </w:p>
    <w:p>
      <w:pPr>
        <w:spacing w:line="360" w:lineRule="auto"/>
        <w:ind w:firstLine="422" w:firstLineChars="201"/>
        <w:rPr>
          <w:rFonts w:ascii="宋体" w:hAnsi="宋体"/>
        </w:rPr>
      </w:pPr>
      <w:r>
        <w:rPr>
          <w:rFonts w:hint="eastAsia" w:ascii="宋体" w:hAnsi="宋体"/>
        </w:rPr>
        <w:t>注：以上评分项不累计，项目组其他成员每人最多评其中一项。</w:t>
      </w:r>
    </w:p>
    <w:p>
      <w:pPr>
        <w:spacing w:line="396" w:lineRule="exact"/>
        <w:ind w:firstLine="424" w:firstLineChars="201"/>
        <w:outlineLvl w:val="1"/>
        <w:rPr>
          <w:rFonts w:ascii="宋体" w:hAnsi="宋体"/>
          <w:b/>
          <w:szCs w:val="21"/>
        </w:rPr>
      </w:pPr>
      <w:r>
        <w:rPr>
          <w:rFonts w:hint="eastAsia" w:ascii="宋体" w:hAnsi="宋体"/>
          <w:b/>
          <w:szCs w:val="21"/>
        </w:rPr>
        <w:t>（四）总得分=（一）+（二）+（三）</w:t>
      </w:r>
    </w:p>
    <w:p>
      <w:pPr>
        <w:adjustRightInd w:val="0"/>
        <w:snapToGrid w:val="0"/>
        <w:spacing w:line="570" w:lineRule="exact"/>
        <w:ind w:firstLine="422" w:firstLineChars="200"/>
        <w:rPr>
          <w:rFonts w:ascii="宋体" w:hAnsi="宋体" w:cs="宋体"/>
          <w:b/>
          <w:szCs w:val="21"/>
          <w:lang w:bidi="zh-CN"/>
        </w:rPr>
      </w:pPr>
      <w:r>
        <w:rPr>
          <w:rFonts w:hint="eastAsia" w:ascii="宋体" w:hAnsi="宋体" w:cs="宋体"/>
          <w:b/>
          <w:szCs w:val="21"/>
          <w:lang w:bidi="zh-CN"/>
        </w:rPr>
        <w:t>二、成交候选人推荐原则</w:t>
      </w:r>
    </w:p>
    <w:p>
      <w:pPr>
        <w:spacing w:line="400" w:lineRule="exact"/>
        <w:ind w:firstLine="420" w:firstLineChars="200"/>
        <w:rPr>
          <w:rFonts w:ascii="宋体" w:hAnsi="宋体" w:cs="宋体"/>
          <w:szCs w:val="21"/>
        </w:rPr>
      </w:pPr>
      <w:r>
        <w:rPr>
          <w:rFonts w:hint="eastAsia" w:ascii="宋体" w:hAnsi="宋体" w:cs="宋体"/>
          <w:szCs w:val="21"/>
        </w:rPr>
        <w:t>评审小组将根据得分由高到低排列次序（得分相同时，以报价由低到高顺序排列；得分相同且报价相同的，按技术指标优劣顺序排列）并推荐中标候选单位。采购人应当确定评审委员会推荐排名第一的中标候选单位为成交单位。排名第一的中标候选单位放弃中标、因不可抗力提出不能履行合同，或者询价文件规定期限内未能完成的，采购人可以确定排名第二的中标候选单位为成交单位。排名第二的中标候选单位因前款规定的同样原因不能签订合同的，采购人可以确定    排名第三的中标候选单位为成交单位，其余以此类推。采购人也可以决定重新采购。</w:t>
      </w:r>
    </w:p>
    <w:p>
      <w:pPr>
        <w:spacing w:line="400" w:lineRule="exact"/>
        <w:ind w:firstLine="420" w:firstLineChars="200"/>
        <w:rPr>
          <w:rFonts w:ascii="宋体" w:hAnsi="宋体" w:cs="宋体"/>
          <w:szCs w:val="21"/>
        </w:rPr>
      </w:pPr>
      <w:r>
        <w:rPr>
          <w:rFonts w:hint="eastAsia" w:ascii="宋体" w:hAnsi="宋体" w:cs="宋体"/>
          <w:szCs w:val="21"/>
        </w:rPr>
        <w:t>评审小组认为，某报价单位的有效报价或者某些分项报价明显不合理或者低于成本，有可能影响服务质量和不能诚信履约的，应要求其在规定的期限内提供书面文件予以解释说明，并提交相关证明材料，否则，评审小组不推荐该单位为中标候选单位。</w:t>
      </w:r>
    </w:p>
    <w:p>
      <w:pPr>
        <w:pStyle w:val="89"/>
        <w:rPr>
          <w:rFonts w:ascii="宋体" w:hAnsi="宋体"/>
          <w:bCs w:val="0"/>
        </w:rPr>
      </w:pPr>
    </w:p>
    <w:p>
      <w:pPr>
        <w:pStyle w:val="89"/>
        <w:rPr>
          <w:rFonts w:ascii="宋体" w:hAnsi="宋体"/>
          <w:bCs w:val="0"/>
        </w:rPr>
      </w:pPr>
    </w:p>
    <w:p>
      <w:pPr>
        <w:pStyle w:val="89"/>
        <w:rPr>
          <w:rFonts w:ascii="宋体" w:hAnsi="宋体"/>
          <w:bCs w:val="0"/>
        </w:rPr>
      </w:pPr>
    </w:p>
    <w:p>
      <w:pPr>
        <w:pStyle w:val="89"/>
        <w:rPr>
          <w:rFonts w:ascii="宋体" w:hAnsi="宋体"/>
          <w:bCs w:val="0"/>
        </w:rPr>
      </w:pPr>
    </w:p>
    <w:p>
      <w:pPr>
        <w:spacing w:line="500" w:lineRule="exact"/>
        <w:jc w:val="center"/>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7"/>
        <w:snapToGrid w:val="0"/>
        <w:spacing w:before="120" w:after="120"/>
        <w:outlineLvl w:val="0"/>
        <w:rPr>
          <w:rFonts w:ascii="Times New Roman" w:hAnsi="Times New Roman" w:eastAsia="仿宋"/>
          <w:b/>
          <w:sz w:val="24"/>
          <w:szCs w:val="24"/>
        </w:rPr>
      </w:pPr>
      <w:bookmarkStart w:id="5" w:name="_Toc301424939"/>
      <w:bookmarkStart w:id="6" w:name="_Toc293863061"/>
      <w:bookmarkStart w:id="7" w:name="_Toc293863331"/>
      <w:bookmarkStart w:id="8" w:name="_Toc326217565"/>
      <w:r>
        <w:rPr>
          <w:rFonts w:ascii="Times New Roman" w:hAnsi="Times New Roman" w:eastAsia="仿宋"/>
          <w:b/>
          <w:sz w:val="24"/>
          <w:szCs w:val="24"/>
        </w:rPr>
        <w:t>一、响应文件外层包装封面及响应文件外封面格式</w:t>
      </w:r>
      <w:bookmarkEnd w:id="5"/>
      <w:bookmarkEnd w:id="6"/>
      <w:bookmarkEnd w:id="7"/>
      <w:bookmarkEnd w:id="8"/>
    </w:p>
    <w:p>
      <w:pPr>
        <w:snapToGrid w:val="0"/>
        <w:spacing w:before="120" w:beforeLines="50" w:after="50"/>
        <w:rPr>
          <w:rFonts w:eastAsia="仿宋"/>
          <w:b/>
          <w:sz w:val="24"/>
        </w:rPr>
      </w:pPr>
      <w:bookmarkStart w:id="9" w:name="_Toc293863062"/>
      <w:bookmarkStart w:id="10" w:name="_Toc293863332"/>
    </w:p>
    <w:p>
      <w:pPr>
        <w:pStyle w:val="17"/>
        <w:snapToGrid w:val="0"/>
        <w:spacing w:before="120" w:after="120"/>
        <w:outlineLvl w:val="0"/>
        <w:rPr>
          <w:rFonts w:ascii="Times New Roman" w:hAnsi="Times New Roman" w:eastAsia="仿宋"/>
          <w:b/>
          <w:sz w:val="24"/>
          <w:szCs w:val="24"/>
        </w:rPr>
      </w:pPr>
      <w:bookmarkStart w:id="11" w:name="_Toc301424940"/>
      <w:bookmarkStart w:id="12" w:name="_Toc326217566"/>
      <w:r>
        <w:rPr>
          <w:rFonts w:ascii="Times New Roman" w:hAnsi="Times New Roman" w:eastAsia="仿宋"/>
          <w:b/>
          <w:sz w:val="24"/>
          <w:szCs w:val="24"/>
        </w:rPr>
        <w:t>1.所有响应文件的外包装封面格式（格式可自拟）：</w:t>
      </w:r>
      <w:bookmarkEnd w:id="9"/>
      <w:bookmarkEnd w:id="10"/>
      <w:bookmarkEnd w:id="11"/>
      <w:bookmarkEnd w:id="12"/>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
          <w:bCs/>
          <w:sz w:val="52"/>
          <w:szCs w:val="52"/>
        </w:rPr>
      </w:pPr>
      <w:r>
        <w:rPr>
          <w:rFonts w:eastAsia="仿宋"/>
          <w:b/>
          <w:bCs/>
          <w:sz w:val="52"/>
          <w:szCs w:val="52"/>
        </w:rPr>
        <w:t>响应文件</w:t>
      </w:r>
    </w:p>
    <w:p>
      <w:pPr>
        <w:snapToGrid w:val="0"/>
        <w:spacing w:before="120" w:beforeLines="50" w:after="50"/>
        <w:rPr>
          <w:rFonts w:eastAsia="仿宋"/>
          <w:bCs/>
          <w:sz w:val="24"/>
          <w:szCs w:val="20"/>
        </w:rPr>
      </w:pPr>
    </w:p>
    <w:p>
      <w:pPr>
        <w:snapToGrid w:val="0"/>
        <w:spacing w:before="12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120"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5" w:firstLineChars="416"/>
        <w:rPr>
          <w:rFonts w:eastAsia="仿宋"/>
          <w:bCs/>
          <w:sz w:val="28"/>
          <w:szCs w:val="28"/>
        </w:rPr>
      </w:pPr>
      <w:r>
        <w:rPr>
          <w:rFonts w:hint="eastAsia" w:eastAsia="仿宋"/>
          <w:bCs/>
          <w:sz w:val="28"/>
          <w:szCs w:val="28"/>
        </w:rPr>
        <w:t>供应商</w:t>
      </w:r>
      <w:r>
        <w:rPr>
          <w:rFonts w:eastAsia="仿宋"/>
          <w:bCs/>
          <w:sz w:val="28"/>
          <w:szCs w:val="28"/>
        </w:rPr>
        <w:t>名称：盖章</w:t>
      </w:r>
    </w:p>
    <w:p>
      <w:pPr>
        <w:pStyle w:val="5"/>
        <w:snapToGrid w:val="0"/>
        <w:spacing w:before="50" w:after="50"/>
        <w:ind w:firstLine="1165" w:firstLineChars="416"/>
        <w:rPr>
          <w:rFonts w:eastAsia="仿宋"/>
          <w:bCs/>
          <w:sz w:val="28"/>
          <w:szCs w:val="28"/>
        </w:rPr>
      </w:pPr>
    </w:p>
    <w:p>
      <w:pPr>
        <w:pStyle w:val="5"/>
        <w:snapToGrid w:val="0"/>
        <w:spacing w:before="50" w:after="50"/>
        <w:ind w:firstLine="1165" w:firstLineChars="416"/>
        <w:rPr>
          <w:rFonts w:eastAsia="仿宋"/>
          <w:bCs/>
          <w:sz w:val="28"/>
          <w:szCs w:val="28"/>
        </w:rPr>
      </w:pPr>
      <w:r>
        <w:rPr>
          <w:rFonts w:hint="eastAsia" w:eastAsia="仿宋"/>
          <w:bCs/>
          <w:sz w:val="28"/>
          <w:szCs w:val="28"/>
        </w:rPr>
        <w:t>供应商</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120" w:beforeLines="50" w:after="50"/>
        <w:ind w:firstLine="4760" w:firstLineChars="1700"/>
        <w:rPr>
          <w:rFonts w:eastAsia="仿宋"/>
          <w:bCs/>
          <w:sz w:val="28"/>
          <w:szCs w:val="28"/>
        </w:rPr>
      </w:pPr>
    </w:p>
    <w:p>
      <w:pPr>
        <w:snapToGrid w:val="0"/>
        <w:spacing w:before="120" w:beforeLines="50" w:after="50"/>
        <w:ind w:firstLine="645"/>
        <w:jc w:val="center"/>
        <w:rPr>
          <w:rFonts w:eastAsia="仿宋"/>
          <w:bCs/>
          <w:sz w:val="28"/>
          <w:szCs w:val="28"/>
        </w:rPr>
      </w:pPr>
      <w:r>
        <w:rPr>
          <w:rFonts w:eastAsia="仿宋"/>
          <w:bCs/>
          <w:sz w:val="28"/>
          <w:szCs w:val="28"/>
        </w:rPr>
        <w:t xml:space="preserve">                        年  月  日</w:t>
      </w:r>
    </w:p>
    <w:p>
      <w:pPr>
        <w:snapToGrid w:val="0"/>
        <w:spacing w:before="120" w:beforeLines="50" w:after="50"/>
        <w:ind w:firstLine="645"/>
        <w:rPr>
          <w:rFonts w:eastAsia="仿宋"/>
          <w:bCs/>
          <w:sz w:val="24"/>
        </w:rPr>
      </w:pPr>
    </w:p>
    <w:p>
      <w:pPr>
        <w:pStyle w:val="17"/>
        <w:snapToGrid w:val="0"/>
        <w:spacing w:before="120" w:after="120"/>
        <w:outlineLvl w:val="0"/>
        <w:rPr>
          <w:rFonts w:ascii="Times New Roman" w:hAnsi="Times New Roman" w:eastAsia="仿宋"/>
          <w:b/>
          <w:sz w:val="24"/>
          <w:szCs w:val="24"/>
        </w:rPr>
      </w:pPr>
      <w:r>
        <w:rPr>
          <w:rFonts w:ascii="Times New Roman" w:hAnsi="Times New Roman" w:eastAsia="仿宋"/>
          <w:b/>
        </w:rPr>
        <w:br w:type="page"/>
      </w:r>
      <w:bookmarkStart w:id="13" w:name="_Toc301424941"/>
      <w:bookmarkStart w:id="14" w:name="_Toc326217567"/>
      <w:r>
        <w:rPr>
          <w:rFonts w:ascii="Times New Roman" w:hAnsi="Times New Roman" w:eastAsia="仿宋"/>
          <w:b/>
          <w:sz w:val="24"/>
          <w:szCs w:val="24"/>
        </w:rPr>
        <w:t>2.响应文件外封面格式（格式可自拟）：</w:t>
      </w:r>
      <w:bookmarkEnd w:id="13"/>
      <w:bookmarkEnd w:id="14"/>
    </w:p>
    <w:p>
      <w:pPr>
        <w:snapToGrid w:val="0"/>
        <w:spacing w:before="120" w:beforeLines="50" w:after="50"/>
        <w:ind w:firstLine="8160" w:firstLineChars="3400"/>
        <w:rPr>
          <w:rFonts w:eastAsia="仿宋"/>
          <w:bCs/>
          <w:sz w:val="24"/>
        </w:rPr>
      </w:pPr>
      <w:r>
        <w:rPr>
          <w:rFonts w:eastAsia="仿宋"/>
          <w:bCs/>
          <w:sz w:val="24"/>
        </w:rPr>
        <w:t>正本/或副本</w:t>
      </w:r>
    </w:p>
    <w:p>
      <w:pPr>
        <w:snapToGrid w:val="0"/>
        <w:spacing w:before="120" w:beforeLines="50" w:after="50"/>
        <w:rPr>
          <w:rFonts w:eastAsia="仿宋"/>
          <w:sz w:val="24"/>
          <w:szCs w:val="20"/>
        </w:rPr>
      </w:pPr>
    </w:p>
    <w:p>
      <w:pPr>
        <w:snapToGrid w:val="0"/>
        <w:spacing w:before="120" w:beforeLines="50" w:after="50"/>
        <w:jc w:val="center"/>
        <w:rPr>
          <w:rFonts w:eastAsia="仿宋"/>
          <w:bCs/>
          <w:sz w:val="24"/>
          <w:szCs w:val="20"/>
        </w:rPr>
      </w:pPr>
    </w:p>
    <w:p>
      <w:pPr>
        <w:snapToGrid w:val="0"/>
        <w:spacing w:before="120" w:beforeLines="50" w:after="50"/>
        <w:jc w:val="center"/>
        <w:rPr>
          <w:rFonts w:eastAsia="仿宋"/>
          <w:bCs/>
          <w:sz w:val="24"/>
          <w:szCs w:val="20"/>
        </w:rPr>
      </w:pPr>
      <w:r>
        <w:rPr>
          <w:rFonts w:eastAsia="仿宋"/>
          <w:b/>
          <w:bCs/>
          <w:sz w:val="52"/>
          <w:szCs w:val="52"/>
        </w:rPr>
        <w:t>响应文件</w:t>
      </w:r>
    </w:p>
    <w:p>
      <w:pPr>
        <w:snapToGrid w:val="0"/>
        <w:spacing w:before="120" w:beforeLines="50" w:after="50"/>
        <w:ind w:firstLine="943" w:firstLineChars="393"/>
        <w:rPr>
          <w:rFonts w:eastAsia="仿宋"/>
          <w:bCs/>
          <w:sz w:val="24"/>
        </w:rPr>
      </w:pPr>
    </w:p>
    <w:p>
      <w:pPr>
        <w:snapToGrid w:val="0"/>
        <w:spacing w:before="12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120"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供应商</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120" w:beforeLines="50" w:after="50"/>
        <w:ind w:firstLine="4080" w:firstLineChars="1700"/>
        <w:rPr>
          <w:rFonts w:eastAsia="仿宋"/>
          <w:bCs/>
          <w:sz w:val="24"/>
          <w:szCs w:val="20"/>
        </w:rPr>
      </w:pPr>
    </w:p>
    <w:p>
      <w:pPr>
        <w:snapToGrid w:val="0"/>
        <w:spacing w:before="120" w:beforeLines="50" w:after="50"/>
        <w:ind w:firstLine="645"/>
        <w:jc w:val="center"/>
        <w:rPr>
          <w:rFonts w:eastAsia="仿宋"/>
          <w:bCs/>
          <w:sz w:val="24"/>
        </w:rPr>
      </w:pPr>
      <w:r>
        <w:rPr>
          <w:rFonts w:eastAsia="仿宋"/>
          <w:bCs/>
          <w:sz w:val="24"/>
        </w:rPr>
        <w:t xml:space="preserve">                        年  月  日</w:t>
      </w:r>
    </w:p>
    <w:p>
      <w:pPr>
        <w:snapToGrid w:val="0"/>
        <w:spacing w:before="120" w:beforeLines="50" w:after="50"/>
        <w:ind w:firstLine="645"/>
        <w:rPr>
          <w:rFonts w:eastAsia="仿宋"/>
          <w:bCs/>
          <w:sz w:val="24"/>
        </w:rPr>
      </w:pPr>
    </w:p>
    <w:p>
      <w:pPr>
        <w:snapToGrid w:val="0"/>
        <w:spacing w:before="120" w:beforeLines="50" w:after="50"/>
        <w:ind w:firstLine="645"/>
        <w:rPr>
          <w:rFonts w:eastAsia="仿宋"/>
          <w:bCs/>
          <w:sz w:val="24"/>
        </w:rPr>
      </w:pPr>
    </w:p>
    <w:p>
      <w:pPr>
        <w:snapToGrid w:val="0"/>
        <w:spacing w:before="120" w:beforeLines="50" w:after="50"/>
        <w:outlineLvl w:val="1"/>
        <w:rPr>
          <w:rFonts w:eastAsia="仿宋"/>
          <w:b/>
          <w:bCs/>
          <w:sz w:val="24"/>
        </w:rPr>
      </w:pPr>
      <w:r>
        <w:rPr>
          <w:rFonts w:eastAsia="仿宋"/>
          <w:bCs/>
          <w:sz w:val="24"/>
        </w:rPr>
        <w:br w:type="page"/>
      </w:r>
      <w:bookmarkStart w:id="15" w:name="_Toc293863333"/>
      <w:bookmarkStart w:id="16" w:name="_Toc254970698"/>
      <w:bookmarkStart w:id="17" w:name="_Toc301424942"/>
      <w:bookmarkStart w:id="18" w:name="_Toc254970557"/>
      <w:bookmarkStart w:id="19" w:name="_Toc326217568"/>
      <w:bookmarkStart w:id="20" w:name="_Toc293863063"/>
      <w:r>
        <w:rPr>
          <w:rFonts w:eastAsia="仿宋"/>
          <w:b/>
          <w:bCs/>
          <w:sz w:val="24"/>
        </w:rPr>
        <w:t>二、资信/商务文件格式</w:t>
      </w:r>
      <w:bookmarkEnd w:id="15"/>
      <w:bookmarkEnd w:id="16"/>
      <w:bookmarkEnd w:id="17"/>
      <w:bookmarkEnd w:id="18"/>
      <w:bookmarkEnd w:id="19"/>
      <w:bookmarkEnd w:id="20"/>
    </w:p>
    <w:p>
      <w:pPr>
        <w:snapToGrid w:val="0"/>
        <w:spacing w:before="50" w:after="50"/>
        <w:rPr>
          <w:rFonts w:eastAsia="仿宋"/>
          <w:b/>
          <w:sz w:val="24"/>
        </w:rPr>
      </w:pPr>
    </w:p>
    <w:p>
      <w:pPr>
        <w:snapToGrid w:val="0"/>
        <w:spacing w:before="50" w:after="50"/>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12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供应商</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20" w:beforeLines="50" w:after="50"/>
        <w:ind w:firstLine="960" w:firstLineChars="400"/>
        <w:rPr>
          <w:rFonts w:eastAsia="仿宋"/>
          <w:bCs/>
          <w:sz w:val="24"/>
          <w:szCs w:val="20"/>
        </w:rPr>
      </w:pPr>
    </w:p>
    <w:p>
      <w:pPr>
        <w:snapToGrid w:val="0"/>
        <w:spacing w:before="120" w:beforeLines="50" w:after="50"/>
        <w:rPr>
          <w:rFonts w:eastAsia="仿宋"/>
          <w:sz w:val="24"/>
          <w:szCs w:val="20"/>
        </w:rPr>
      </w:pPr>
    </w:p>
    <w:p>
      <w:pPr>
        <w:snapToGrid w:val="0"/>
        <w:spacing w:line="400" w:lineRule="exact"/>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2</w:t>
      </w:r>
      <w:r>
        <w:rPr>
          <w:rFonts w:eastAsia="仿宋"/>
          <w:sz w:val="24"/>
        </w:rPr>
        <w:t>）有效的营业执照副本复印件（对于有经营资质要求的，</w:t>
      </w:r>
      <w:r>
        <w:rPr>
          <w:rFonts w:hint="eastAsia" w:eastAsia="仿宋"/>
          <w:sz w:val="24"/>
        </w:rPr>
        <w:t>供应商</w:t>
      </w:r>
      <w:r>
        <w:rPr>
          <w:rFonts w:eastAsia="仿宋"/>
          <w:sz w:val="24"/>
        </w:rPr>
        <w:t>必须提供有效的经营资质证书副本内页复印件；如</w:t>
      </w:r>
      <w:r>
        <w:rPr>
          <w:rFonts w:hint="eastAsia" w:eastAsia="仿宋"/>
          <w:sz w:val="24"/>
        </w:rPr>
        <w:t>供应商</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3</w:t>
      </w:r>
      <w:r>
        <w:rPr>
          <w:rFonts w:eastAsia="仿宋"/>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w:t>
      </w:r>
      <w:r>
        <w:rPr>
          <w:rFonts w:hint="eastAsia" w:eastAsia="仿宋"/>
          <w:sz w:val="24"/>
        </w:rPr>
        <w:t>响应文件递交截止之日前半年内供应商任意连续3个月</w:t>
      </w:r>
      <w:r>
        <w:rPr>
          <w:rFonts w:eastAsia="仿宋"/>
          <w:sz w:val="24"/>
        </w:rPr>
        <w:t>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w:t>
      </w:r>
      <w:r>
        <w:rPr>
          <w:rFonts w:hint="eastAsia" w:eastAsia="仿宋"/>
          <w:sz w:val="24"/>
        </w:rPr>
        <w:t>响应文件递交截止之日前半年内供应商任意连续3个月</w:t>
      </w:r>
      <w:r>
        <w:rPr>
          <w:rFonts w:eastAsia="仿宋"/>
          <w:sz w:val="24"/>
        </w:rPr>
        <w:t>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响应文件递交截止之日前半年内任意1个月供应商为项目实施人员缴纳的社保证明</w:t>
      </w:r>
    </w:p>
    <w:p>
      <w:pPr>
        <w:snapToGrid w:val="0"/>
        <w:spacing w:line="400" w:lineRule="exact"/>
        <w:ind w:firstLine="480" w:firstLineChars="200"/>
        <w:jc w:val="left"/>
        <w:rPr>
          <w:rFonts w:eastAsia="仿宋"/>
          <w:sz w:val="24"/>
        </w:rPr>
      </w:pPr>
      <w:r>
        <w:rPr>
          <w:rFonts w:hint="eastAsia" w:eastAsia="仿宋"/>
          <w:sz w:val="24"/>
        </w:rPr>
        <w:t>（9）供应商参加政府采购活动前3年内在经营活动中没有重大违法记录的书面声明（原件加盖单位公章），以及主体信用记录查询结果截图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10</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1</w:t>
      </w:r>
      <w:r>
        <w:rPr>
          <w:rFonts w:eastAsia="仿宋"/>
          <w:sz w:val="24"/>
        </w:rPr>
        <w:t>）服务承诺书</w:t>
      </w:r>
    </w:p>
    <w:p>
      <w:pPr>
        <w:snapToGrid w:val="0"/>
        <w:spacing w:line="400" w:lineRule="exact"/>
        <w:ind w:firstLine="480" w:firstLineChars="200"/>
        <w:jc w:val="left"/>
        <w:rPr>
          <w:rFonts w:eastAsia="仿宋"/>
          <w:sz w:val="24"/>
        </w:rPr>
      </w:pPr>
      <w:r>
        <w:rPr>
          <w:rFonts w:hint="eastAsia" w:eastAsia="仿宋"/>
          <w:sz w:val="24"/>
        </w:rPr>
        <w:t>（12）项目实施人员一览表；</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供应商</w:t>
      </w:r>
      <w:r>
        <w:rPr>
          <w:rFonts w:eastAsia="仿宋"/>
          <w:b/>
          <w:bCs/>
          <w:sz w:val="24"/>
        </w:rPr>
        <w:t>资信评分的资质证明材料</w:t>
      </w:r>
      <w:r>
        <w:rPr>
          <w:rFonts w:eastAsia="仿宋"/>
          <w:b/>
          <w:sz w:val="24"/>
        </w:rPr>
        <w:t>（如有）</w:t>
      </w:r>
      <w:r>
        <w:rPr>
          <w:rFonts w:eastAsia="仿宋"/>
          <w:sz w:val="24"/>
        </w:rPr>
        <w:t>：</w:t>
      </w:r>
    </w:p>
    <w:p>
      <w:pPr>
        <w:numPr>
          <w:ilvl w:val="0"/>
          <w:numId w:val="7"/>
        </w:numPr>
        <w:snapToGrid w:val="0"/>
        <w:spacing w:line="400" w:lineRule="exact"/>
        <w:ind w:firstLine="480" w:firstLineChars="200"/>
        <w:jc w:val="left"/>
        <w:rPr>
          <w:rFonts w:eastAsia="仿宋"/>
          <w:sz w:val="24"/>
        </w:rPr>
      </w:pPr>
      <w:r>
        <w:rPr>
          <w:rFonts w:hint="eastAsia" w:eastAsia="仿宋"/>
          <w:sz w:val="24"/>
        </w:rPr>
        <w:t>供应商的类似成功案例的业绩证明文件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供应商</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供应商</w:t>
      </w:r>
      <w:r>
        <w:rPr>
          <w:rFonts w:eastAsia="仿宋"/>
          <w:sz w:val="24"/>
        </w:rPr>
        <w:t>名称）的法定代表人（负责人），我方愿意参加贵方组织的</w:t>
      </w:r>
      <w:r>
        <w:rPr>
          <w:rFonts w:hint="eastAsia" w:eastAsia="仿宋"/>
          <w:sz w:val="24"/>
          <w:u w:val="single"/>
        </w:rPr>
        <w:t>广西融合视频会议系统项目工程监理服务</w:t>
      </w:r>
      <w:r>
        <w:rPr>
          <w:rFonts w:eastAsia="仿宋"/>
          <w:sz w:val="24"/>
        </w:rPr>
        <w:t>项目的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5"/>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供应商（</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89"/>
      </w:pPr>
    </w:p>
    <w:p>
      <w:pPr>
        <w:spacing w:line="400" w:lineRule="exact"/>
        <w:jc w:val="center"/>
        <w:rPr>
          <w:rFonts w:eastAsia="仿宋"/>
          <w:b/>
          <w:spacing w:val="6"/>
          <w:sz w:val="32"/>
          <w:szCs w:val="32"/>
        </w:rPr>
      </w:pPr>
    </w:p>
    <w:p>
      <w:pPr>
        <w:spacing w:line="400" w:lineRule="exact"/>
        <w:jc w:val="center"/>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供应商</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u w:val="single"/>
        </w:rPr>
        <w:t>广西融合视频会议系统项目工程监理服务</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供应商</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w:t>
      </w:r>
      <w:r>
        <w:rPr>
          <w:rFonts w:hint="eastAsia" w:eastAsia="仿宋"/>
          <w:b/>
          <w:sz w:val="24"/>
        </w:rPr>
        <w:t>响应文件递交截止之日前半年内供应商任意连续3个月</w:t>
      </w:r>
      <w:r>
        <w:rPr>
          <w:rFonts w:eastAsia="仿宋"/>
          <w:b/>
          <w:sz w:val="24"/>
        </w:rPr>
        <w:t>的有效依法缴纳税费或依法免缴税费的证明（无纳税记录的，应提供由</w:t>
      </w:r>
      <w:r>
        <w:rPr>
          <w:rFonts w:hint="eastAsia" w:eastAsia="仿宋"/>
          <w:b/>
          <w:sz w:val="24"/>
        </w:rPr>
        <w:t>供应商</w:t>
      </w:r>
      <w:r>
        <w:rPr>
          <w:rFonts w:eastAsia="仿宋"/>
          <w:b/>
          <w:sz w:val="24"/>
        </w:rPr>
        <w:t>所在地主管国税、地税部门出具的《依法纳税或依法免税证明》；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，则提供公司成立后任意一个月的有效依法缴纳税费或依法免缴税费或依法在办缴税的证明（复印件）</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w:t>
      </w:r>
      <w:r>
        <w:rPr>
          <w:rFonts w:hint="eastAsia" w:eastAsia="仿宋"/>
          <w:b/>
          <w:sz w:val="24"/>
        </w:rPr>
        <w:t>响应文件递交截止之日前半年内供应商任意连续3个月</w:t>
      </w:r>
      <w:r>
        <w:rPr>
          <w:rFonts w:eastAsia="仿宋"/>
          <w:b/>
          <w:sz w:val="24"/>
        </w:rPr>
        <w:t>的有效依法缴纳社保费的缴费凭证（无缴费记录的，应提供由</w:t>
      </w:r>
      <w:r>
        <w:rPr>
          <w:rFonts w:hint="eastAsia" w:eastAsia="仿宋"/>
          <w:b/>
          <w:sz w:val="24"/>
        </w:rPr>
        <w:t>供应商</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，则提供公司成立后任意一个月的有效依法缴纳社保费或依法免缴社保或在办依法缴纳社保的证明（复印件）</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1个月供应商为项目实施人员缴纳的社保证明（社保证明必须经供应商所在地的社保部门盖章确认，依法不参与社保的人员，应出具相关的证明文件；复印件加盖单位公章；</w:t>
      </w:r>
    </w:p>
    <w:p>
      <w:pPr>
        <w:snapToGrid w:val="0"/>
        <w:spacing w:line="400" w:lineRule="exact"/>
        <w:jc w:val="left"/>
        <w:rPr>
          <w:rFonts w:eastAsia="仿宋"/>
          <w:b/>
          <w:sz w:val="24"/>
        </w:rPr>
      </w:pPr>
      <w:r>
        <w:rPr>
          <w:rFonts w:hint="eastAsia" w:eastAsia="仿宋"/>
          <w:b/>
          <w:sz w:val="24"/>
        </w:rPr>
        <w:t>（9）供应商参加政府采购活动前3年内在经营活动中没有重大违法记录的书面声明（原件加盖单位公章），以及主体信用记录查询结果截图（加盖供应商单位公章）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10</w:t>
      </w:r>
      <w:r>
        <w:rPr>
          <w:rFonts w:eastAsia="仿宋"/>
          <w:b/>
          <w:sz w:val="24"/>
        </w:rPr>
        <w:t>）商务响应表格式：</w:t>
      </w:r>
    </w:p>
    <w:tbl>
      <w:tblPr>
        <w:tblStyle w:val="37"/>
        <w:tblW w:w="876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供应商</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供应商（</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1</w:t>
      </w:r>
      <w:r>
        <w:rPr>
          <w:rFonts w:eastAsia="仿宋"/>
          <w:b/>
          <w:sz w:val="24"/>
        </w:rPr>
        <w:t>）服务承诺书（格式自拟）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w:t>
      </w:r>
      <w:r>
        <w:rPr>
          <w:rFonts w:hint="eastAsia" w:eastAsia="仿宋"/>
          <w:b/>
          <w:sz w:val="24"/>
        </w:rPr>
        <w:t>项目实施人员一览表</w:t>
      </w:r>
    </w:p>
    <w:p>
      <w:pPr>
        <w:spacing w:before="240" w:beforeLines="100" w:after="360" w:afterLines="150" w:line="320" w:lineRule="exact"/>
        <w:jc w:val="center"/>
        <w:rPr>
          <w:rFonts w:ascii="宋体" w:hAnsi="宋体"/>
          <w:b/>
          <w:sz w:val="32"/>
          <w:szCs w:val="32"/>
        </w:rPr>
      </w:pPr>
      <w:r>
        <w:rPr>
          <w:rFonts w:hint="eastAsia" w:ascii="宋体" w:hAnsi="宋体"/>
          <w:b/>
          <w:sz w:val="32"/>
          <w:szCs w:val="32"/>
        </w:rPr>
        <w:t>项目实施人员一览表（格式）</w:t>
      </w:r>
    </w:p>
    <w:tbl>
      <w:tblPr>
        <w:tblStyle w:val="37"/>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1868"/>
        <w:gridCol w:w="1417"/>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5" w:hRule="atLeast"/>
        </w:trPr>
        <w:tc>
          <w:tcPr>
            <w:tcW w:w="1373" w:type="dxa"/>
          </w:tcPr>
          <w:p>
            <w:pPr>
              <w:pStyle w:val="94"/>
              <w:spacing w:before="182"/>
              <w:ind w:left="446"/>
              <w:rPr>
                <w:sz w:val="24"/>
              </w:rPr>
            </w:pPr>
            <w:r>
              <w:rPr>
                <w:sz w:val="24"/>
              </w:rPr>
              <w:t>姓名</w:t>
            </w:r>
          </w:p>
        </w:tc>
        <w:tc>
          <w:tcPr>
            <w:tcW w:w="1129" w:type="dxa"/>
          </w:tcPr>
          <w:p>
            <w:pPr>
              <w:pStyle w:val="94"/>
              <w:spacing w:before="182"/>
              <w:ind w:left="323"/>
              <w:rPr>
                <w:sz w:val="24"/>
              </w:rPr>
            </w:pPr>
            <w:r>
              <w:rPr>
                <w:sz w:val="24"/>
              </w:rPr>
              <w:t>职务</w:t>
            </w:r>
          </w:p>
        </w:tc>
        <w:tc>
          <w:tcPr>
            <w:tcW w:w="1868" w:type="dxa"/>
          </w:tcPr>
          <w:p>
            <w:pPr>
              <w:pStyle w:val="94"/>
              <w:spacing w:before="182"/>
              <w:ind w:left="212"/>
              <w:rPr>
                <w:sz w:val="24"/>
              </w:rPr>
            </w:pPr>
            <w:r>
              <w:rPr>
                <w:sz w:val="24"/>
              </w:rPr>
              <w:t>专业技术资格</w:t>
            </w:r>
          </w:p>
        </w:tc>
        <w:tc>
          <w:tcPr>
            <w:tcW w:w="1417" w:type="dxa"/>
          </w:tcPr>
          <w:p>
            <w:pPr>
              <w:pStyle w:val="94"/>
              <w:spacing w:before="182"/>
              <w:ind w:left="226"/>
              <w:rPr>
                <w:sz w:val="24"/>
              </w:rPr>
            </w:pPr>
            <w:r>
              <w:rPr>
                <w:sz w:val="24"/>
              </w:rPr>
              <w:t>证书编号</w:t>
            </w:r>
          </w:p>
        </w:tc>
        <w:tc>
          <w:tcPr>
            <w:tcW w:w="2550" w:type="dxa"/>
          </w:tcPr>
          <w:p>
            <w:pPr>
              <w:pStyle w:val="94"/>
              <w:spacing w:before="182"/>
              <w:ind w:left="189"/>
              <w:rPr>
                <w:sz w:val="24"/>
              </w:rPr>
            </w:pPr>
            <w:r>
              <w:rPr>
                <w:sz w:val="24"/>
              </w:rPr>
              <w:t>参加本单位工作时间</w:t>
            </w:r>
          </w:p>
        </w:tc>
        <w:tc>
          <w:tcPr>
            <w:tcW w:w="901" w:type="dxa"/>
          </w:tcPr>
          <w:p>
            <w:pPr>
              <w:pStyle w:val="94"/>
              <w:spacing w:before="182"/>
              <w:ind w:left="208"/>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6"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8" w:hRule="atLeast"/>
        </w:trPr>
        <w:tc>
          <w:tcPr>
            <w:tcW w:w="1373" w:type="dxa"/>
          </w:tcPr>
          <w:p>
            <w:pPr>
              <w:pStyle w:val="94"/>
              <w:rPr>
                <w:rFonts w:ascii="Times New Roman"/>
                <w:sz w:val="22"/>
              </w:rPr>
            </w:pPr>
          </w:p>
        </w:tc>
        <w:tc>
          <w:tcPr>
            <w:tcW w:w="1129" w:type="dxa"/>
          </w:tcPr>
          <w:p>
            <w:pPr>
              <w:pStyle w:val="94"/>
              <w:rPr>
                <w:rFonts w:ascii="Times New Roman"/>
                <w:sz w:val="22"/>
              </w:rPr>
            </w:pPr>
          </w:p>
        </w:tc>
        <w:tc>
          <w:tcPr>
            <w:tcW w:w="1868" w:type="dxa"/>
          </w:tcPr>
          <w:p>
            <w:pPr>
              <w:pStyle w:val="94"/>
              <w:rPr>
                <w:rFonts w:ascii="Times New Roman"/>
                <w:sz w:val="22"/>
              </w:rPr>
            </w:pPr>
          </w:p>
        </w:tc>
        <w:tc>
          <w:tcPr>
            <w:tcW w:w="1417" w:type="dxa"/>
          </w:tcPr>
          <w:p>
            <w:pPr>
              <w:pStyle w:val="94"/>
              <w:rPr>
                <w:rFonts w:ascii="Times New Roman"/>
                <w:sz w:val="22"/>
              </w:rPr>
            </w:pPr>
          </w:p>
        </w:tc>
        <w:tc>
          <w:tcPr>
            <w:tcW w:w="2550" w:type="dxa"/>
          </w:tcPr>
          <w:p>
            <w:pPr>
              <w:pStyle w:val="94"/>
              <w:rPr>
                <w:rFonts w:ascii="Times New Roman"/>
                <w:sz w:val="22"/>
              </w:rPr>
            </w:pPr>
          </w:p>
        </w:tc>
        <w:tc>
          <w:tcPr>
            <w:tcW w:w="901" w:type="dxa"/>
          </w:tcPr>
          <w:p>
            <w:pPr>
              <w:pStyle w:val="94"/>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 xml:space="preserve">  1、在填写时，如本表格不适合供应商的实际情况，可根据本表格式自行制表填写。</w:t>
      </w:r>
    </w:p>
    <w:p>
      <w:pPr>
        <w:pStyle w:val="89"/>
        <w:ind w:firstLine="840" w:firstLineChars="400"/>
        <w:rPr>
          <w:rFonts w:ascii="宋体" w:hAnsi="宋体"/>
          <w:bCs w:val="0"/>
          <w:spacing w:val="0"/>
          <w:kern w:val="2"/>
          <w:sz w:val="21"/>
          <w:szCs w:val="21"/>
        </w:rPr>
      </w:pPr>
      <w:r>
        <w:rPr>
          <w:rFonts w:hint="eastAsia" w:ascii="宋体" w:hAnsi="宋体"/>
          <w:bCs w:val="0"/>
          <w:spacing w:val="0"/>
          <w:kern w:val="2"/>
          <w:sz w:val="21"/>
          <w:szCs w:val="21"/>
        </w:rPr>
        <w:t>2.提供相关专业技术资质证书复印件，并加盖供应商公章。</w:t>
      </w:r>
    </w:p>
    <w:p>
      <w:pPr>
        <w:spacing w:line="300" w:lineRule="auto"/>
        <w:ind w:firstLine="720" w:firstLineChars="300"/>
        <w:rPr>
          <w:rFonts w:ascii="宋体" w:hAnsi="宋体"/>
          <w:szCs w:val="21"/>
        </w:rPr>
      </w:pPr>
      <w:r>
        <w:rPr>
          <w:rFonts w:hint="eastAsia" w:ascii="仿宋_GB2312" w:eastAsia="仿宋_GB2312"/>
          <w:sz w:val="24"/>
        </w:rPr>
        <w:t>3.</w:t>
      </w:r>
      <w:r>
        <w:rPr>
          <w:rFonts w:hint="eastAsia" w:ascii="宋体" w:hAnsi="宋体"/>
          <w:szCs w:val="21"/>
        </w:rPr>
        <w:t>此清单由多页构成的，应逐页加盖供应商法人公章或由法定代表人（负责人）（或委托代理人）签字。</w:t>
      </w:r>
    </w:p>
    <w:p>
      <w:pPr>
        <w:adjustRightInd w:val="0"/>
        <w:snapToGrid w:val="0"/>
        <w:spacing w:line="300" w:lineRule="auto"/>
        <w:rPr>
          <w:rFonts w:ascii="宋体" w:hAnsi="宋体"/>
          <w:szCs w:val="21"/>
        </w:rPr>
      </w:pPr>
    </w:p>
    <w:p>
      <w:pPr>
        <w:pStyle w:val="89"/>
      </w:pPr>
    </w:p>
    <w:p>
      <w:pPr>
        <w:pStyle w:val="89"/>
      </w:pPr>
    </w:p>
    <w:p>
      <w:pPr>
        <w:pStyle w:val="17"/>
        <w:ind w:firstLine="5200" w:firstLineChars="2600"/>
      </w:pPr>
      <w:r>
        <w:rPr>
          <w:rFonts w:hint="eastAsia"/>
        </w:rPr>
        <w:t xml:space="preserve">供应商(公章)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sz w:val="24"/>
        </w:rPr>
        <w:sectPr>
          <w:footerReference r:id="rId9" w:type="first"/>
          <w:footerReference r:id="rId8" w:type="default"/>
          <w:pgSz w:w="11906" w:h="16838"/>
          <w:pgMar w:top="1134" w:right="1134" w:bottom="1134" w:left="1134" w:header="851" w:footer="851" w:gutter="0"/>
          <w:cols w:space="720" w:num="1"/>
          <w:docGrid w:linePitch="312" w:charSpace="0"/>
        </w:sectPr>
      </w:pPr>
    </w:p>
    <w:p>
      <w:pPr>
        <w:snapToGrid w:val="0"/>
        <w:spacing w:line="400" w:lineRule="exact"/>
        <w:jc w:val="left"/>
        <w:rPr>
          <w:rFonts w:eastAsia="仿宋"/>
          <w:b/>
          <w:sz w:val="24"/>
        </w:rPr>
      </w:pPr>
      <w:r>
        <w:rPr>
          <w:rFonts w:eastAsia="仿宋"/>
          <w:b/>
          <w:sz w:val="24"/>
        </w:rPr>
        <w:t>（1</w:t>
      </w:r>
      <w:r>
        <w:rPr>
          <w:rFonts w:hint="eastAsia" w:eastAsia="仿宋"/>
          <w:b/>
          <w:sz w:val="24"/>
        </w:rPr>
        <w:t>3</w:t>
      </w:r>
      <w:r>
        <w:rPr>
          <w:rFonts w:eastAsia="仿宋"/>
          <w:b/>
          <w:sz w:val="24"/>
        </w:rPr>
        <w:t>）</w:t>
      </w:r>
      <w:r>
        <w:rPr>
          <w:rFonts w:hint="eastAsia" w:eastAsia="仿宋"/>
          <w:b/>
          <w:sz w:val="24"/>
        </w:rPr>
        <w:t>供应商的类似成功案例的业绩证明文件</w:t>
      </w:r>
      <w:r>
        <w:rPr>
          <w:rFonts w:eastAsia="仿宋"/>
          <w:b/>
          <w:sz w:val="24"/>
        </w:rPr>
        <w:t>：</w:t>
      </w:r>
    </w:p>
    <w:p>
      <w:pPr>
        <w:pStyle w:val="25"/>
        <w:snapToGrid w:val="0"/>
        <w:spacing w:line="400" w:lineRule="exact"/>
        <w:ind w:left="480" w:hanging="480"/>
        <w:rPr>
          <w:rFonts w:eastAsia="仿宋"/>
          <w:sz w:val="24"/>
        </w:rPr>
      </w:pPr>
      <w:r>
        <w:rPr>
          <w:rFonts w:hint="eastAsia" w:eastAsia="仿宋"/>
          <w:sz w:val="24"/>
        </w:rPr>
        <w:t>供应商</w:t>
      </w:r>
      <w:r>
        <w:rPr>
          <w:rFonts w:eastAsia="仿宋"/>
          <w:sz w:val="24"/>
        </w:rPr>
        <w:t>同类项目实施情况一览表格式：（</w:t>
      </w:r>
      <w:r>
        <w:rPr>
          <w:rFonts w:hint="eastAsia" w:eastAsia="仿宋"/>
          <w:sz w:val="24"/>
        </w:rPr>
        <w:t>供应商</w:t>
      </w:r>
      <w:r>
        <w:rPr>
          <w:rFonts w:eastAsia="仿宋"/>
          <w:sz w:val="24"/>
        </w:rPr>
        <w:t>同类项目合同</w:t>
      </w:r>
      <w:r>
        <w:rPr>
          <w:rFonts w:hint="eastAsia" w:eastAsia="仿宋"/>
          <w:sz w:val="24"/>
        </w:rPr>
        <w:t>或者中标通知书</w:t>
      </w:r>
      <w:r>
        <w:rPr>
          <w:rFonts w:eastAsia="仿宋"/>
          <w:sz w:val="24"/>
        </w:rPr>
        <w:t>复印件，格式可自拟）</w:t>
      </w:r>
    </w:p>
    <w:tbl>
      <w:tblPr>
        <w:tblStyle w:val="37"/>
        <w:tblW w:w="139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720"/>
        <w:gridCol w:w="720"/>
        <w:gridCol w:w="72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34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34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6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34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16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在填写时，如本表格不适合供应商的实际情况，可根据本表格式自行制表填写。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2.此清单由多页构成的，应逐页加盖供应商法人公章或由法定代表人（负责人）（或委托代理人）签字。</w:t>
      </w:r>
    </w:p>
    <w:p>
      <w:pPr>
        <w:pStyle w:val="89"/>
      </w:pPr>
    </w:p>
    <w:p>
      <w:pPr>
        <w:wordWrap w:val="0"/>
        <w:snapToGrid w:val="0"/>
        <w:spacing w:line="400" w:lineRule="exact"/>
        <w:ind w:right="120"/>
        <w:jc w:val="right"/>
        <w:rPr>
          <w:rFonts w:eastAsia="仿宋"/>
          <w:sz w:val="24"/>
          <w:u w:val="single"/>
        </w:rPr>
      </w:pPr>
      <w:r>
        <w:rPr>
          <w:rFonts w:hint="eastAsia" w:eastAsia="仿宋"/>
          <w:sz w:val="24"/>
        </w:rPr>
        <w:t>供应商（</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89"/>
        <w:rPr>
          <w:rFonts w:eastAsia="仿宋"/>
        </w:rPr>
      </w:pPr>
    </w:p>
    <w:p>
      <w:pPr>
        <w:pStyle w:val="25"/>
        <w:snapToGrid w:val="0"/>
        <w:spacing w:line="400" w:lineRule="exact"/>
        <w:ind w:left="480" w:hanging="480"/>
        <w:rPr>
          <w:rFonts w:eastAsia="仿宋"/>
          <w:sz w:val="24"/>
        </w:rPr>
      </w:pPr>
    </w:p>
    <w:p>
      <w:pPr>
        <w:pStyle w:val="89"/>
        <w:rPr>
          <w:rFonts w:eastAsia="仿宋"/>
        </w:rPr>
        <w:sectPr>
          <w:footerReference r:id="rId10" w:type="default"/>
          <w:pgSz w:w="16838" w:h="11906" w:orient="landscape"/>
          <w:pgMar w:top="1134" w:right="1134" w:bottom="1134" w:left="1134" w:header="851" w:footer="992" w:gutter="0"/>
          <w:cols w:space="720" w:num="1"/>
          <w:docGrid w:linePitch="312" w:charSpace="0"/>
        </w:sectPr>
      </w:pPr>
    </w:p>
    <w:p>
      <w:pPr>
        <w:widowControl/>
        <w:jc w:val="left"/>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供应商</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eastAsia="仿宋"/>
          <w:sz w:val="24"/>
        </w:rPr>
        <w:t>（1）技术响应表</w:t>
      </w:r>
    </w:p>
    <w:p>
      <w:pPr>
        <w:snapToGrid w:val="0"/>
        <w:spacing w:line="400" w:lineRule="exact"/>
        <w:jc w:val="left"/>
        <w:rPr>
          <w:rFonts w:eastAsia="仿宋"/>
          <w:sz w:val="24"/>
        </w:rPr>
      </w:pPr>
      <w:r>
        <w:rPr>
          <w:rFonts w:eastAsia="仿宋"/>
          <w:sz w:val="24"/>
        </w:rPr>
        <w:t>（2）</w:t>
      </w:r>
      <w:r>
        <w:rPr>
          <w:rFonts w:hint="eastAsia" w:eastAsia="仿宋"/>
          <w:sz w:val="24"/>
        </w:rPr>
        <w:t>设计方案</w:t>
      </w:r>
    </w:p>
    <w:p>
      <w:pPr>
        <w:snapToGrid w:val="0"/>
        <w:spacing w:line="400" w:lineRule="exact"/>
        <w:jc w:val="left"/>
        <w:rPr>
          <w:rFonts w:eastAsia="仿宋"/>
          <w:sz w:val="24"/>
        </w:rPr>
      </w:pPr>
      <w:r>
        <w:rPr>
          <w:rFonts w:eastAsia="仿宋"/>
          <w:sz w:val="24"/>
        </w:rPr>
        <w:t>（3）</w:t>
      </w:r>
      <w:r>
        <w:rPr>
          <w:rFonts w:hint="eastAsia" w:eastAsia="仿宋"/>
          <w:sz w:val="24"/>
        </w:rPr>
        <w:t>售后服务方案</w:t>
      </w:r>
    </w:p>
    <w:p>
      <w:pPr>
        <w:snapToGrid w:val="0"/>
        <w:spacing w:line="400" w:lineRule="exact"/>
        <w:jc w:val="left"/>
        <w:rPr>
          <w:rFonts w:eastAsia="仿宋"/>
          <w:sz w:val="24"/>
        </w:rPr>
      </w:pPr>
      <w:r>
        <w:rPr>
          <w:rFonts w:hint="eastAsia" w:eastAsia="仿宋"/>
          <w:sz w:val="24"/>
        </w:rPr>
        <w:t>（4）供应商认为需要提供的其他证明材料</w:t>
      </w:r>
    </w:p>
    <w:p>
      <w:pPr>
        <w:pStyle w:val="89"/>
      </w:pPr>
    </w:p>
    <w:p>
      <w:pPr>
        <w:pStyle w:val="89"/>
      </w:pPr>
    </w:p>
    <w:p>
      <w:pPr>
        <w:snapToGrid w:val="0"/>
        <w:spacing w:line="400" w:lineRule="exact"/>
        <w:jc w:val="left"/>
        <w:rPr>
          <w:rFonts w:eastAsia="仿宋"/>
          <w:b/>
          <w:sz w:val="24"/>
        </w:rPr>
      </w:pPr>
      <w:r>
        <w:rPr>
          <w:rFonts w:eastAsia="仿宋"/>
          <w:b/>
          <w:bCs/>
          <w:sz w:val="24"/>
        </w:rPr>
        <w:t>可作为</w:t>
      </w:r>
      <w:r>
        <w:rPr>
          <w:rFonts w:hint="eastAsia" w:eastAsia="仿宋"/>
          <w:b/>
          <w:bCs/>
          <w:sz w:val="24"/>
        </w:rPr>
        <w:t>供应商</w:t>
      </w:r>
      <w:r>
        <w:rPr>
          <w:rFonts w:eastAsia="仿宋"/>
          <w:b/>
          <w:bCs/>
          <w:sz w:val="24"/>
        </w:rPr>
        <w:t>技术评分的材料（</w:t>
      </w:r>
      <w:r>
        <w:rPr>
          <w:rFonts w:hint="eastAsia" w:eastAsia="仿宋"/>
          <w:b/>
          <w:bCs/>
          <w:sz w:val="24"/>
        </w:rPr>
        <w:t>供应商</w:t>
      </w:r>
      <w:r>
        <w:rPr>
          <w:rFonts w:eastAsia="仿宋"/>
          <w:b/>
          <w:bCs/>
          <w:sz w:val="24"/>
        </w:rPr>
        <w:t>可根据自身情况选择提供）：</w:t>
      </w: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37"/>
        <w:tblW w:w="906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260"/>
        <w:gridCol w:w="1747"/>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699"/>
            <w:bookmarkStart w:id="22" w:name="_Toc254970558"/>
            <w:r>
              <w:rPr>
                <w:rFonts w:eastAsia="仿宋"/>
                <w:spacing w:val="20"/>
                <w:sz w:val="24"/>
              </w:rPr>
              <w:t>采购文件要求</w:t>
            </w:r>
            <w:bookmarkEnd w:id="21"/>
            <w:bookmarkEnd w:id="22"/>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3" w:name="_Toc254970700"/>
            <w:bookmarkStart w:id="24" w:name="_Toc254970559"/>
            <w:r>
              <w:rPr>
                <w:rFonts w:eastAsia="仿宋"/>
                <w:spacing w:val="20"/>
                <w:sz w:val="24"/>
              </w:rPr>
              <w:t>响应文件响应</w:t>
            </w:r>
            <w:bookmarkEnd w:id="23"/>
            <w:bookmarkEnd w:id="24"/>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7"/>
              <w:snapToGrid w:val="0"/>
              <w:spacing w:line="400" w:lineRule="exact"/>
              <w:jc w:val="center"/>
              <w:outlineLvl w:val="0"/>
              <w:rPr>
                <w:rFonts w:ascii="Times New Roman" w:hAnsi="Times New Roman" w:eastAsia="仿宋"/>
                <w:spacing w:val="20"/>
                <w:kern w:val="2"/>
                <w:sz w:val="24"/>
                <w:szCs w:val="24"/>
              </w:rPr>
            </w:pPr>
            <w:bookmarkStart w:id="25" w:name="_Toc301424943"/>
            <w:bookmarkStart w:id="26" w:name="_Toc254970701"/>
            <w:bookmarkStart w:id="27" w:name="_Toc326217569"/>
            <w:bookmarkStart w:id="28" w:name="_Toc293863334"/>
            <w:bookmarkStart w:id="29" w:name="_Toc254970560"/>
            <w:bookmarkStart w:id="30" w:name="_Toc293863064"/>
            <w:r>
              <w:rPr>
                <w:rFonts w:ascii="Times New Roman" w:hAnsi="Times New Roman" w:eastAsia="仿宋"/>
                <w:spacing w:val="20"/>
                <w:kern w:val="2"/>
                <w:sz w:val="24"/>
                <w:szCs w:val="24"/>
              </w:rPr>
              <w:t>偏离情况</w:t>
            </w:r>
            <w:bookmarkEnd w:id="25"/>
            <w:bookmarkEnd w:id="26"/>
            <w:bookmarkEnd w:id="27"/>
            <w:bookmarkEnd w:id="28"/>
            <w:bookmarkEnd w:id="29"/>
            <w:bookmarkEnd w:id="30"/>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7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7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7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74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2"/>
        <w:spacing w:line="400" w:lineRule="exact"/>
        <w:ind w:firstLine="320" w:firstLineChars="200"/>
        <w:rPr>
          <w:rFonts w:eastAsia="仿宋"/>
          <w:spacing w:val="20"/>
        </w:rPr>
      </w:pPr>
      <w:r>
        <w:rPr>
          <w:rFonts w:eastAsia="仿宋"/>
        </w:rPr>
        <w:t>注：</w:t>
      </w:r>
      <w:r>
        <w:rPr>
          <w:rFonts w:hint="eastAsia" w:eastAsia="仿宋"/>
        </w:rPr>
        <w:t>供应商</w:t>
      </w:r>
      <w:r>
        <w:rPr>
          <w:rFonts w:eastAsia="仿宋"/>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供应商（</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（2）设计方案</w:t>
      </w:r>
      <w:r>
        <w:rPr>
          <w:rFonts w:eastAsia="仿宋"/>
          <w:b/>
          <w:sz w:val="24"/>
        </w:rPr>
        <w:t>（格式自拟）</w:t>
      </w:r>
    </w:p>
    <w:p>
      <w:pPr>
        <w:snapToGrid w:val="0"/>
        <w:spacing w:line="400" w:lineRule="exact"/>
        <w:jc w:val="left"/>
        <w:rPr>
          <w:rFonts w:eastAsia="仿宋"/>
          <w:b/>
          <w:sz w:val="24"/>
        </w:rPr>
      </w:pPr>
      <w:r>
        <w:rPr>
          <w:rFonts w:hint="eastAsia" w:eastAsia="仿宋"/>
          <w:b/>
          <w:sz w:val="24"/>
        </w:rPr>
        <w:t>（3）售后服务方案</w:t>
      </w:r>
      <w:r>
        <w:rPr>
          <w:rFonts w:eastAsia="仿宋"/>
          <w:b/>
          <w:sz w:val="24"/>
        </w:rPr>
        <w:t>（格式自拟）</w:t>
      </w:r>
    </w:p>
    <w:p>
      <w:pPr>
        <w:snapToGrid w:val="0"/>
        <w:spacing w:line="400" w:lineRule="exact"/>
        <w:jc w:val="left"/>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供应商认为需要提供的其他证明材料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rPr>
          <w:rFonts w:eastAsia="仿宋"/>
          <w:b/>
          <w:sz w:val="24"/>
        </w:rPr>
      </w:pPr>
      <w:r>
        <w:rPr>
          <w:rFonts w:eastAsia="仿宋"/>
          <w:b/>
          <w:bCs/>
          <w:sz w:val="24"/>
        </w:rPr>
        <w:br w:type="page"/>
      </w:r>
      <w:r>
        <w:rPr>
          <w:rFonts w:eastAsia="仿宋"/>
          <w:b/>
          <w:bCs/>
          <w:sz w:val="24"/>
        </w:rPr>
        <w:t>四、报价文件格式</w:t>
      </w:r>
    </w:p>
    <w:p>
      <w:pPr>
        <w:widowControl/>
        <w:jc w:val="left"/>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供应商</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u w:val="single"/>
        </w:rPr>
        <w:t>广西融合视频会议系统项目工程监理服务</w:t>
      </w:r>
      <w:r>
        <w:rPr>
          <w:rFonts w:eastAsia="仿宋"/>
          <w:sz w:val="24"/>
        </w:rPr>
        <w:t>项目的采购文件，签字代表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供应商</w:t>
      </w:r>
      <w:r>
        <w:rPr>
          <w:rFonts w:eastAsia="仿宋"/>
          <w:sz w:val="24"/>
        </w:rPr>
        <w:t>名称）提交响应文件正本一份、副本</w:t>
      </w:r>
      <w:r>
        <w:rPr>
          <w:rFonts w:hint="eastAsia" w:eastAsia="仿宋"/>
          <w:sz w:val="24"/>
        </w:rPr>
        <w:t>两</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供应商</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供应商</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供应商</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供应商</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供应商</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供应商</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r>
        <w:rPr>
          <w:rFonts w:eastAsia="仿宋"/>
          <w:b/>
          <w:sz w:val="24"/>
        </w:rPr>
        <w:br w:type="page"/>
      </w:r>
      <w:r>
        <w:rPr>
          <w:rFonts w:eastAsia="仿宋"/>
          <w:b/>
          <w:sz w:val="24"/>
        </w:rPr>
        <w:t>3.报价表格式：</w:t>
      </w:r>
    </w:p>
    <w:p>
      <w:pPr>
        <w:pStyle w:val="17"/>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37"/>
        <w:tblW w:w="927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维护、保养、测试项目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firstLineChars="200"/>
              <w:jc w:val="left"/>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left"/>
              <w:rPr>
                <w:rFonts w:eastAsia="仿宋"/>
                <w:sz w:val="24"/>
              </w:rPr>
            </w:pPr>
            <w:r>
              <w:rPr>
                <w:rFonts w:hint="eastAsia" w:ascii="宋体" w:hAnsi="宋体"/>
                <w:bCs/>
                <w:sz w:val="24"/>
              </w:rPr>
              <w:t>广西融合视频会议系统项目工程监理服务</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firstLineChars="200"/>
              <w:jc w:val="left"/>
              <w:rPr>
                <w:rFonts w:eastAsia="仿宋"/>
                <w:sz w:val="24"/>
              </w:rPr>
            </w:pPr>
            <w:r>
              <w:rPr>
                <w:rFonts w:eastAsia="仿宋"/>
                <w:sz w:val="24"/>
              </w:rPr>
              <w:t>1项</w:t>
            </w:r>
          </w:p>
        </w:tc>
        <w:tc>
          <w:tcPr>
            <w:tcW w:w="2688" w:type="dxa"/>
            <w:tcBorders>
              <w:top w:val="single" w:color="auto" w:sz="4" w:space="0"/>
              <w:left w:val="single" w:color="auto" w:sz="4" w:space="0"/>
              <w:bottom w:val="single" w:color="auto" w:sz="4" w:space="0"/>
              <w:right w:val="single" w:color="auto" w:sz="4" w:space="0"/>
            </w:tcBorders>
          </w:tcPr>
          <w:p>
            <w:pPr>
              <w:snapToGrid w:val="0"/>
              <w:spacing w:line="400" w:lineRule="exact"/>
              <w:ind w:firstLine="480" w:firstLineChars="200"/>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firstLineChars="200"/>
              <w:rPr>
                <w:rFonts w:eastAsia="仿宋"/>
                <w:sz w:val="24"/>
              </w:rPr>
            </w:pPr>
            <w:r>
              <w:rPr>
                <w:rFonts w:eastAsia="仿宋"/>
                <w:sz w:val="24"/>
              </w:rPr>
              <w:t>合计金额大写：                                ￥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firstLineChars="200"/>
              <w:jc w:val="left"/>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ind w:firstLine="480" w:firstLineChars="200"/>
              <w:jc w:val="left"/>
              <w:rPr>
                <w:rFonts w:eastAsia="仿宋"/>
                <w:sz w:val="24"/>
              </w:rPr>
            </w:pPr>
          </w:p>
        </w:tc>
      </w:tr>
    </w:tbl>
    <w:p>
      <w:pPr>
        <w:tabs>
          <w:tab w:val="left" w:pos="1418"/>
        </w:tabs>
        <w:snapToGrid w:val="0"/>
        <w:spacing w:line="400" w:lineRule="exact"/>
        <w:ind w:left="1418" w:hanging="567"/>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供应商（</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供应商</w:t>
      </w:r>
      <w:r>
        <w:rPr>
          <w:rFonts w:eastAsia="仿宋"/>
          <w:sz w:val="24"/>
        </w:rPr>
        <w:t>应根据所提供的货物（服务）如实填写报价表的各项内容。</w:t>
      </w:r>
    </w:p>
    <w:p>
      <w:pPr>
        <w:numPr>
          <w:ilvl w:val="0"/>
          <w:numId w:val="8"/>
        </w:numPr>
        <w:snapToGrid w:val="0"/>
        <w:spacing w:line="400" w:lineRule="exact"/>
        <w:ind w:firstLine="465"/>
        <w:rPr>
          <w:rFonts w:eastAsia="仿宋"/>
          <w:sz w:val="24"/>
        </w:rPr>
      </w:pPr>
      <w:r>
        <w:rPr>
          <w:rFonts w:eastAsia="仿宋"/>
          <w:sz w:val="24"/>
        </w:rPr>
        <w:t>报价表由多页构成时，需逐页加盖</w:t>
      </w:r>
      <w:r>
        <w:rPr>
          <w:rFonts w:hint="eastAsia" w:eastAsia="仿宋"/>
          <w:sz w:val="24"/>
        </w:rPr>
        <w:t>供应商</w:t>
      </w:r>
      <w:r>
        <w:rPr>
          <w:rFonts w:eastAsia="仿宋"/>
          <w:sz w:val="24"/>
        </w:rPr>
        <w:t>公章。</w:t>
      </w:r>
    </w:p>
    <w:p>
      <w:pPr>
        <w:spacing w:line="40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3、本项目投标报价为总额报价，即一次性报出本项目服务所需的所有费用，含技术服务、印刷费</w:t>
      </w:r>
      <w:r>
        <w:rPr>
          <w:rFonts w:ascii="仿宋_GB2312" w:hAnsi="仿宋_GB2312" w:eastAsia="仿宋_GB2312" w:cs="仿宋_GB2312"/>
          <w:sz w:val="24"/>
        </w:rPr>
        <w:t>、</w:t>
      </w:r>
      <w:r>
        <w:rPr>
          <w:rFonts w:hint="eastAsia" w:ascii="仿宋_GB2312" w:hAnsi="仿宋_GB2312" w:eastAsia="仿宋_GB2312" w:cs="仿宋_GB2312"/>
          <w:sz w:val="24"/>
        </w:rPr>
        <w:t>派出工作人员的交通费、住宿费、伙食补助费、必要的保险费用和各项税金、其他有关的费用。本项目至验收合格，采购人不另支付任何费用（本项目为整体服务包干项目，报价中应包含所有服务内容，成交后采购人服务期内不再另行支付额外费用）。</w:t>
      </w:r>
    </w:p>
    <w:p>
      <w:pPr>
        <w:spacing w:line="390" w:lineRule="exact"/>
        <w:ind w:firstLine="480" w:firstLineChars="200"/>
        <w:rPr>
          <w:rFonts w:ascii="仿宋_GB2312" w:hAnsi="仿宋_GB2312" w:eastAsia="仿宋_GB2312" w:cs="仿宋_GB2312"/>
          <w:sz w:val="24"/>
        </w:rPr>
      </w:pPr>
    </w:p>
    <w:p>
      <w:pPr>
        <w:spacing w:line="390" w:lineRule="exact"/>
        <w:ind w:firstLine="480" w:firstLineChars="200"/>
        <w:rPr>
          <w:rFonts w:ascii="仿宋_GB2312" w:hAnsi="仿宋_GB2312" w:eastAsia="仿宋_GB2312" w:cs="仿宋_GB2312"/>
          <w:sz w:val="24"/>
        </w:rPr>
      </w:pPr>
    </w:p>
    <w:p>
      <w:pPr>
        <w:pStyle w:val="17"/>
        <w:snapToGrid w:val="0"/>
        <w:spacing w:before="295" w:after="295"/>
        <w:jc w:val="center"/>
        <w:rPr>
          <w:rFonts w:ascii="Times New Roman" w:hAnsi="Times New Roman" w:eastAsia="仿宋"/>
        </w:rPr>
      </w:pPr>
    </w:p>
    <w:p>
      <w:pPr>
        <w:pStyle w:val="17"/>
        <w:rPr>
          <w:rFonts w:hAnsi="宋体" w:cs="宋体"/>
          <w:b/>
          <w:sz w:val="24"/>
        </w:rPr>
      </w:pPr>
      <w:r>
        <w:rPr>
          <w:rFonts w:eastAsia="仿宋"/>
          <w:b/>
          <w:sz w:val="24"/>
        </w:rPr>
        <w:t>4.</w:t>
      </w:r>
      <w:r>
        <w:rPr>
          <w:rFonts w:hint="eastAsia" w:eastAsia="仿宋"/>
          <w:b/>
          <w:sz w:val="24"/>
        </w:rPr>
        <w:t>供应商</w:t>
      </w:r>
      <w:r>
        <w:rPr>
          <w:rFonts w:eastAsia="仿宋"/>
          <w:b/>
          <w:sz w:val="24"/>
        </w:rPr>
        <w:t>针对报价需要说明的其他文件和说明（格式自拟）</w:t>
      </w:r>
      <w:r>
        <w:rPr>
          <w:rFonts w:hint="eastAsia" w:hAnsi="宋体" w:cs="宋体"/>
          <w:b/>
          <w:sz w:val="24"/>
        </w:rPr>
        <w:t xml:space="preserve"> </w:t>
      </w:r>
    </w:p>
    <w:p>
      <w:pPr>
        <w:pStyle w:val="17"/>
        <w:spacing w:line="288" w:lineRule="auto"/>
        <w:jc w:val="left"/>
        <w:rPr>
          <w:rFonts w:hAnsi="宋体"/>
        </w:rPr>
      </w:pPr>
    </w:p>
    <w:sectPr>
      <w:footerReference r:id="rId12" w:type="first"/>
      <w:footerReference r:id="rId11"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AF4DDB-5DDB-4AB6-AD4D-2AA5D6CB6405}"/>
  </w:font>
  <w:font w:name="Arial">
    <w:panose1 w:val="020B0604020202020204"/>
    <w:charset w:val="01"/>
    <w:family w:val="swiss"/>
    <w:pitch w:val="default"/>
    <w:sig w:usb0="E0002EFF" w:usb1="C000785B" w:usb2="00000009" w:usb3="00000000" w:csb0="400001FF" w:csb1="FFFF0000"/>
    <w:embedRegular r:id="rId2" w:fontKey="{D0864A9A-40D9-4C7F-8A2E-3F33EB19518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3D8AFEA8-33B3-4435-9C4A-31553750CAF9}"/>
  </w:font>
  <w:font w:name="Symbol">
    <w:panose1 w:val="05050102010706020507"/>
    <w:charset w:val="02"/>
    <w:family w:val="roman"/>
    <w:pitch w:val="default"/>
    <w:sig w:usb0="00000000" w:usb1="00000000" w:usb2="00000000" w:usb3="00000000" w:csb0="80000000" w:csb1="00000000"/>
    <w:embedRegular r:id="rId4" w:fontKey="{B278DE01-B8FF-4587-B06D-FC510A50ECFE}"/>
  </w:font>
  <w:font w:name="Cambria">
    <w:panose1 w:val="02040503050406030204"/>
    <w:charset w:val="00"/>
    <w:family w:val="roman"/>
    <w:pitch w:val="default"/>
    <w:sig w:usb0="E00006FF" w:usb1="420024FF" w:usb2="02000000" w:usb3="00000000" w:csb0="2000019F" w:csb1="00000000"/>
    <w:embedRegular r:id="rId5" w:fontKey="{BD035501-8DFD-44ED-91D0-715CDA8136F9}"/>
  </w:font>
  <w:font w:name="Calibri">
    <w:panose1 w:val="020F0502020204030204"/>
    <w:charset w:val="00"/>
    <w:family w:val="swiss"/>
    <w:pitch w:val="default"/>
    <w:sig w:usb0="E4002EFF" w:usb1="C000247B" w:usb2="00000009" w:usb3="00000000" w:csb0="200001FF" w:csb1="00000000"/>
    <w:embedRegular r:id="rId6" w:fontKey="{1CCA7591-94BE-461B-ABEB-F2B521D23718}"/>
  </w:font>
  <w:font w:name="Arial">
    <w:panose1 w:val="020B0604020202020204"/>
    <w:charset w:val="00"/>
    <w:family w:val="swiss"/>
    <w:pitch w:val="default"/>
    <w:sig w:usb0="E0002EFF" w:usb1="C000785B" w:usb2="00000009" w:usb3="00000000" w:csb0="400001FF" w:csb1="FFFF0000"/>
    <w:embedRegular r:id="rId7" w:fontKey="{93E7F8BA-73DB-4F72-9FE0-22AA748E7FE2}"/>
  </w:font>
  <w:font w:name="黑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embedRegular r:id="rId8" w:fontKey="{C558DB5C-F670-4174-9DBF-5181D3D6D9E0}"/>
  </w:font>
  <w:font w:name="仿宋_GB2312">
    <w:panose1 w:val="02010609030101010101"/>
    <w:charset w:val="86"/>
    <w:family w:val="modern"/>
    <w:pitch w:val="default"/>
    <w:sig w:usb0="00000001" w:usb1="080E0000" w:usb2="00000000" w:usb3="00000000" w:csb0="00040000" w:csb1="00000000"/>
    <w:embedRegular r:id="rId9" w:fontKey="{E870963A-4FA3-4EE3-A8E8-426610E8F17C}"/>
  </w:font>
  <w:font w:name="MingLiU">
    <w:panose1 w:val="02020309000000000000"/>
    <w:charset w:val="88"/>
    <w:family w:val="modern"/>
    <w:pitch w:val="default"/>
    <w:sig w:usb0="00000003" w:usb1="082E0000" w:usb2="00000016" w:usb3="00000000" w:csb0="00100001" w:csb1="00000000"/>
  </w:font>
  <w:font w:name="Adobe Corp ID">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10" w:fontKey="{DE8838DB-10CF-4DFA-B2B3-51566FD6A983}"/>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11" w:fontKey="{FFF62983-1E75-45D8-B223-58220938CC2F}"/>
  </w:font>
  <w:font w:name="微软雅黑">
    <w:panose1 w:val="020B0503020204020204"/>
    <w:charset w:val="86"/>
    <w:family w:val="swiss"/>
    <w:pitch w:val="default"/>
    <w:sig w:usb0="80000287" w:usb1="2ACF3C50" w:usb2="00000016" w:usb3="00000000" w:csb0="0004001F" w:csb1="00000000"/>
    <w:embedRegular r:id="rId12" w:fontKey="{B4F89340-34C4-4A5B-8CCA-A4CB6D924888}"/>
  </w:font>
  <w:font w:name="方正仿宋简体">
    <w:altName w:val="Arial Unicode MS"/>
    <w:panose1 w:val="00000000000000000000"/>
    <w:charset w:val="86"/>
    <w:family w:val="auto"/>
    <w:pitch w:val="default"/>
    <w:sig w:usb0="00000000" w:usb1="00000000" w:usb2="00000000" w:usb3="00000000" w:csb0="00040000" w:csb1="00000000"/>
    <w:embedRegular r:id="rId13" w:fontKey="{AF9B28A1-0494-44FC-B808-BA7054AFD436}"/>
  </w:font>
  <w:font w:name="Cambria Math">
    <w:panose1 w:val="02040503050406030204"/>
    <w:charset w:val="00"/>
    <w:family w:val="roman"/>
    <w:pitch w:val="default"/>
    <w:sig w:usb0="E00006FF" w:usb1="420024FF" w:usb2="02000000" w:usb3="00000000" w:csb0="2000019F" w:csb1="00000000"/>
    <w:embedRegular r:id="rId14" w:fontKey="{55B8A3C4-6701-463B-8714-508289D81C89}"/>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tabs>
        <w:tab w:val="left" w:pos="315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F4884"/>
    <w:multiLevelType w:val="singleLevel"/>
    <w:tmpl w:val="957F4884"/>
    <w:lvl w:ilvl="0" w:tentative="0">
      <w:start w:val="13"/>
      <w:numFmt w:val="decimal"/>
      <w:suff w:val="nothing"/>
      <w:lvlText w:val="（%1）"/>
      <w:lvlJc w:val="left"/>
    </w:lvl>
  </w:abstractNum>
  <w:abstractNum w:abstractNumId="1">
    <w:nsid w:val="9FF9DE37"/>
    <w:multiLevelType w:val="singleLevel"/>
    <w:tmpl w:val="9FF9DE37"/>
    <w:lvl w:ilvl="0" w:tentative="0">
      <w:start w:val="2"/>
      <w:numFmt w:val="decimal"/>
      <w:suff w:val="nothing"/>
      <w:lvlText w:val="%1、"/>
      <w:lvlJc w:val="left"/>
    </w:lvl>
  </w:abstractNum>
  <w:abstractNum w:abstractNumId="2">
    <w:nsid w:val="2A0C5284"/>
    <w:multiLevelType w:val="multilevel"/>
    <w:tmpl w:val="2A0C5284"/>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122667E"/>
    <w:multiLevelType w:val="multilevel"/>
    <w:tmpl w:val="4122667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1197508"/>
    <w:multiLevelType w:val="multilevel"/>
    <w:tmpl w:val="51197508"/>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4AB675C"/>
    <w:multiLevelType w:val="multilevel"/>
    <w:tmpl w:val="54AB675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57DDDB1"/>
    <w:multiLevelType w:val="singleLevel"/>
    <w:tmpl w:val="657DDDB1"/>
    <w:lvl w:ilvl="0" w:tentative="0">
      <w:start w:val="3"/>
      <w:numFmt w:val="chineseCounting"/>
      <w:suff w:val="nothing"/>
      <w:lvlText w:val="%1、"/>
      <w:lvlJc w:val="left"/>
      <w:rPr>
        <w:rFonts w:hint="eastAsia"/>
      </w:rPr>
    </w:lvl>
  </w:abstractNum>
  <w:abstractNum w:abstractNumId="7">
    <w:nsid w:val="6F1D731B"/>
    <w:multiLevelType w:val="multilevel"/>
    <w:tmpl w:val="6F1D731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2"/>
  </w:num>
  <w:num w:numId="2">
    <w:abstractNumId w:val="4"/>
  </w:num>
  <w:num w:numId="3">
    <w:abstractNumId w:val="6"/>
  </w:num>
  <w:num w:numId="4">
    <w:abstractNumId w:val="5"/>
  </w:num>
  <w:num w:numId="5">
    <w:abstractNumId w:val="3"/>
  </w:num>
  <w:num w:numId="6">
    <w:abstractNumId w:val="7"/>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xMDAyMDZmMmE5N2Q3OGE5NDBjMTU5NWRmMzE2MTgifQ=="/>
  </w:docVars>
  <w:rsids>
    <w:rsidRoot w:val="00F34B14"/>
    <w:rsid w:val="0000041F"/>
    <w:rsid w:val="000030BA"/>
    <w:rsid w:val="000058BF"/>
    <w:rsid w:val="00006E79"/>
    <w:rsid w:val="00010987"/>
    <w:rsid w:val="000110CF"/>
    <w:rsid w:val="0001172C"/>
    <w:rsid w:val="000121B1"/>
    <w:rsid w:val="00012854"/>
    <w:rsid w:val="00013BAF"/>
    <w:rsid w:val="00013CA6"/>
    <w:rsid w:val="00014BE2"/>
    <w:rsid w:val="00015889"/>
    <w:rsid w:val="0001684C"/>
    <w:rsid w:val="00020DE6"/>
    <w:rsid w:val="00022A29"/>
    <w:rsid w:val="000261F3"/>
    <w:rsid w:val="000267F5"/>
    <w:rsid w:val="000279FF"/>
    <w:rsid w:val="00031E06"/>
    <w:rsid w:val="00032417"/>
    <w:rsid w:val="00032870"/>
    <w:rsid w:val="00032F4B"/>
    <w:rsid w:val="00041261"/>
    <w:rsid w:val="00042FD9"/>
    <w:rsid w:val="000437CF"/>
    <w:rsid w:val="00044252"/>
    <w:rsid w:val="0004581E"/>
    <w:rsid w:val="0004767D"/>
    <w:rsid w:val="000523DE"/>
    <w:rsid w:val="0005376F"/>
    <w:rsid w:val="0005431D"/>
    <w:rsid w:val="000551AF"/>
    <w:rsid w:val="000568F4"/>
    <w:rsid w:val="00057CB4"/>
    <w:rsid w:val="00061844"/>
    <w:rsid w:val="00061D30"/>
    <w:rsid w:val="000637FD"/>
    <w:rsid w:val="00065EF3"/>
    <w:rsid w:val="000661E4"/>
    <w:rsid w:val="00066459"/>
    <w:rsid w:val="0007125B"/>
    <w:rsid w:val="000712DD"/>
    <w:rsid w:val="00071FA9"/>
    <w:rsid w:val="000721CC"/>
    <w:rsid w:val="00074933"/>
    <w:rsid w:val="000807D2"/>
    <w:rsid w:val="00081505"/>
    <w:rsid w:val="00083407"/>
    <w:rsid w:val="000845B2"/>
    <w:rsid w:val="00084796"/>
    <w:rsid w:val="00084CF1"/>
    <w:rsid w:val="0008753A"/>
    <w:rsid w:val="0008785E"/>
    <w:rsid w:val="000908A8"/>
    <w:rsid w:val="00090BD4"/>
    <w:rsid w:val="00091B01"/>
    <w:rsid w:val="00092B83"/>
    <w:rsid w:val="00092FB5"/>
    <w:rsid w:val="00093630"/>
    <w:rsid w:val="00093D49"/>
    <w:rsid w:val="000944F6"/>
    <w:rsid w:val="000946AA"/>
    <w:rsid w:val="000951D6"/>
    <w:rsid w:val="00095F0C"/>
    <w:rsid w:val="00096E60"/>
    <w:rsid w:val="00097D42"/>
    <w:rsid w:val="000A145D"/>
    <w:rsid w:val="000A3CC1"/>
    <w:rsid w:val="000A4793"/>
    <w:rsid w:val="000A5245"/>
    <w:rsid w:val="000B1827"/>
    <w:rsid w:val="000B2832"/>
    <w:rsid w:val="000B290F"/>
    <w:rsid w:val="000B3FCD"/>
    <w:rsid w:val="000B443F"/>
    <w:rsid w:val="000B4528"/>
    <w:rsid w:val="000B4728"/>
    <w:rsid w:val="000B5057"/>
    <w:rsid w:val="000B5DD4"/>
    <w:rsid w:val="000C14D7"/>
    <w:rsid w:val="000C1976"/>
    <w:rsid w:val="000C2364"/>
    <w:rsid w:val="000C2D93"/>
    <w:rsid w:val="000C4A54"/>
    <w:rsid w:val="000C54DF"/>
    <w:rsid w:val="000C5B43"/>
    <w:rsid w:val="000C7B3C"/>
    <w:rsid w:val="000C7BFD"/>
    <w:rsid w:val="000C7DF4"/>
    <w:rsid w:val="000D105E"/>
    <w:rsid w:val="000D1667"/>
    <w:rsid w:val="000D1E4A"/>
    <w:rsid w:val="000D2EFB"/>
    <w:rsid w:val="000D3FCA"/>
    <w:rsid w:val="000D6147"/>
    <w:rsid w:val="000D72CD"/>
    <w:rsid w:val="000D799B"/>
    <w:rsid w:val="000E035C"/>
    <w:rsid w:val="000E1E92"/>
    <w:rsid w:val="000E2E77"/>
    <w:rsid w:val="000E3051"/>
    <w:rsid w:val="000E4B48"/>
    <w:rsid w:val="000E512E"/>
    <w:rsid w:val="000E74DF"/>
    <w:rsid w:val="000E7B6B"/>
    <w:rsid w:val="000E7C8D"/>
    <w:rsid w:val="000F143D"/>
    <w:rsid w:val="000F38C7"/>
    <w:rsid w:val="000F6578"/>
    <w:rsid w:val="000F6A30"/>
    <w:rsid w:val="000F70B0"/>
    <w:rsid w:val="000F76CA"/>
    <w:rsid w:val="000F790D"/>
    <w:rsid w:val="001008FB"/>
    <w:rsid w:val="001009D7"/>
    <w:rsid w:val="00100B8D"/>
    <w:rsid w:val="00100D19"/>
    <w:rsid w:val="00104897"/>
    <w:rsid w:val="00105112"/>
    <w:rsid w:val="00105122"/>
    <w:rsid w:val="00106BEE"/>
    <w:rsid w:val="0011031F"/>
    <w:rsid w:val="00112D30"/>
    <w:rsid w:val="001150F6"/>
    <w:rsid w:val="00116049"/>
    <w:rsid w:val="0012079F"/>
    <w:rsid w:val="00120D43"/>
    <w:rsid w:val="001219D9"/>
    <w:rsid w:val="00122602"/>
    <w:rsid w:val="00122C83"/>
    <w:rsid w:val="00124CC8"/>
    <w:rsid w:val="001279A8"/>
    <w:rsid w:val="00131B3F"/>
    <w:rsid w:val="00133B96"/>
    <w:rsid w:val="00135ED9"/>
    <w:rsid w:val="00135F6A"/>
    <w:rsid w:val="00137066"/>
    <w:rsid w:val="0013794F"/>
    <w:rsid w:val="00140E04"/>
    <w:rsid w:val="0014131A"/>
    <w:rsid w:val="00142645"/>
    <w:rsid w:val="00144EE1"/>
    <w:rsid w:val="00145A78"/>
    <w:rsid w:val="00146970"/>
    <w:rsid w:val="00147AA9"/>
    <w:rsid w:val="001505A2"/>
    <w:rsid w:val="001505CD"/>
    <w:rsid w:val="00151ADC"/>
    <w:rsid w:val="00151E67"/>
    <w:rsid w:val="0015230E"/>
    <w:rsid w:val="001552B1"/>
    <w:rsid w:val="001559D8"/>
    <w:rsid w:val="00156BFC"/>
    <w:rsid w:val="00157EE5"/>
    <w:rsid w:val="00161051"/>
    <w:rsid w:val="00161297"/>
    <w:rsid w:val="001636B5"/>
    <w:rsid w:val="0016684A"/>
    <w:rsid w:val="0016756B"/>
    <w:rsid w:val="00170ACC"/>
    <w:rsid w:val="001721EE"/>
    <w:rsid w:val="001726BE"/>
    <w:rsid w:val="00174599"/>
    <w:rsid w:val="00176DF7"/>
    <w:rsid w:val="00176EB1"/>
    <w:rsid w:val="0017727E"/>
    <w:rsid w:val="001815E7"/>
    <w:rsid w:val="0018371C"/>
    <w:rsid w:val="00183EC4"/>
    <w:rsid w:val="0018473B"/>
    <w:rsid w:val="001858E9"/>
    <w:rsid w:val="0018709F"/>
    <w:rsid w:val="001870F7"/>
    <w:rsid w:val="00192900"/>
    <w:rsid w:val="00193105"/>
    <w:rsid w:val="001936D0"/>
    <w:rsid w:val="00194AAB"/>
    <w:rsid w:val="001A2F27"/>
    <w:rsid w:val="001A4C49"/>
    <w:rsid w:val="001A55EE"/>
    <w:rsid w:val="001A5CE4"/>
    <w:rsid w:val="001A7542"/>
    <w:rsid w:val="001A7739"/>
    <w:rsid w:val="001A7FCA"/>
    <w:rsid w:val="001B026F"/>
    <w:rsid w:val="001B5148"/>
    <w:rsid w:val="001B6219"/>
    <w:rsid w:val="001B7AD0"/>
    <w:rsid w:val="001C11CD"/>
    <w:rsid w:val="001C1FA5"/>
    <w:rsid w:val="001C23F5"/>
    <w:rsid w:val="001C372B"/>
    <w:rsid w:val="001C39F7"/>
    <w:rsid w:val="001C40B0"/>
    <w:rsid w:val="001C431F"/>
    <w:rsid w:val="001C5FEC"/>
    <w:rsid w:val="001D0407"/>
    <w:rsid w:val="001D1CFD"/>
    <w:rsid w:val="001D2E7E"/>
    <w:rsid w:val="001D3169"/>
    <w:rsid w:val="001D444A"/>
    <w:rsid w:val="001D5A8A"/>
    <w:rsid w:val="001D61C1"/>
    <w:rsid w:val="001E6341"/>
    <w:rsid w:val="001E6860"/>
    <w:rsid w:val="001F14EE"/>
    <w:rsid w:val="001F2614"/>
    <w:rsid w:val="001F31C9"/>
    <w:rsid w:val="001F35B8"/>
    <w:rsid w:val="001F3A7B"/>
    <w:rsid w:val="001F5219"/>
    <w:rsid w:val="001F538F"/>
    <w:rsid w:val="001F7299"/>
    <w:rsid w:val="00201C34"/>
    <w:rsid w:val="00202536"/>
    <w:rsid w:val="00203033"/>
    <w:rsid w:val="00206A85"/>
    <w:rsid w:val="00207548"/>
    <w:rsid w:val="00207A73"/>
    <w:rsid w:val="0021049B"/>
    <w:rsid w:val="002139DC"/>
    <w:rsid w:val="002156D8"/>
    <w:rsid w:val="00220D18"/>
    <w:rsid w:val="0022235D"/>
    <w:rsid w:val="002231D0"/>
    <w:rsid w:val="00223403"/>
    <w:rsid w:val="00223692"/>
    <w:rsid w:val="00224B1F"/>
    <w:rsid w:val="00227AB6"/>
    <w:rsid w:val="002308AF"/>
    <w:rsid w:val="002326AD"/>
    <w:rsid w:val="00232763"/>
    <w:rsid w:val="00233E11"/>
    <w:rsid w:val="00234C17"/>
    <w:rsid w:val="002355BE"/>
    <w:rsid w:val="00236D50"/>
    <w:rsid w:val="00236E04"/>
    <w:rsid w:val="00237BC7"/>
    <w:rsid w:val="00240469"/>
    <w:rsid w:val="0024131C"/>
    <w:rsid w:val="0024173D"/>
    <w:rsid w:val="002432AD"/>
    <w:rsid w:val="00243BDE"/>
    <w:rsid w:val="00244809"/>
    <w:rsid w:val="00244F13"/>
    <w:rsid w:val="00250629"/>
    <w:rsid w:val="00250F33"/>
    <w:rsid w:val="0025245B"/>
    <w:rsid w:val="00252DA3"/>
    <w:rsid w:val="00252FE5"/>
    <w:rsid w:val="002543DF"/>
    <w:rsid w:val="00257BF1"/>
    <w:rsid w:val="00260D03"/>
    <w:rsid w:val="002611B3"/>
    <w:rsid w:val="00261788"/>
    <w:rsid w:val="00264B77"/>
    <w:rsid w:val="002656F7"/>
    <w:rsid w:val="002660B6"/>
    <w:rsid w:val="002666EB"/>
    <w:rsid w:val="00267D23"/>
    <w:rsid w:val="00270804"/>
    <w:rsid w:val="00271826"/>
    <w:rsid w:val="0027202F"/>
    <w:rsid w:val="00272321"/>
    <w:rsid w:val="00272C5B"/>
    <w:rsid w:val="0027612F"/>
    <w:rsid w:val="0027623E"/>
    <w:rsid w:val="00277513"/>
    <w:rsid w:val="00277913"/>
    <w:rsid w:val="00277BBA"/>
    <w:rsid w:val="0028111F"/>
    <w:rsid w:val="002818E4"/>
    <w:rsid w:val="002879DF"/>
    <w:rsid w:val="00290309"/>
    <w:rsid w:val="00292043"/>
    <w:rsid w:val="0029296D"/>
    <w:rsid w:val="00292C96"/>
    <w:rsid w:val="002957D6"/>
    <w:rsid w:val="0029663D"/>
    <w:rsid w:val="002A3EAF"/>
    <w:rsid w:val="002A662C"/>
    <w:rsid w:val="002A6B12"/>
    <w:rsid w:val="002A6D55"/>
    <w:rsid w:val="002A7349"/>
    <w:rsid w:val="002A751C"/>
    <w:rsid w:val="002B128A"/>
    <w:rsid w:val="002B1CEA"/>
    <w:rsid w:val="002B61C1"/>
    <w:rsid w:val="002B65AF"/>
    <w:rsid w:val="002B75FA"/>
    <w:rsid w:val="002B7AF6"/>
    <w:rsid w:val="002C2948"/>
    <w:rsid w:val="002C2A4E"/>
    <w:rsid w:val="002C2CB5"/>
    <w:rsid w:val="002C2F37"/>
    <w:rsid w:val="002C4E59"/>
    <w:rsid w:val="002C62A6"/>
    <w:rsid w:val="002D0DC7"/>
    <w:rsid w:val="002D1E68"/>
    <w:rsid w:val="002D7442"/>
    <w:rsid w:val="002D7495"/>
    <w:rsid w:val="002D7648"/>
    <w:rsid w:val="002E026B"/>
    <w:rsid w:val="002E41F2"/>
    <w:rsid w:val="002E46EA"/>
    <w:rsid w:val="002E4C3B"/>
    <w:rsid w:val="002E7770"/>
    <w:rsid w:val="002F01AD"/>
    <w:rsid w:val="002F0E56"/>
    <w:rsid w:val="002F21DD"/>
    <w:rsid w:val="002F24FC"/>
    <w:rsid w:val="002F2D0D"/>
    <w:rsid w:val="002F51F0"/>
    <w:rsid w:val="002F5233"/>
    <w:rsid w:val="002F558E"/>
    <w:rsid w:val="002F7098"/>
    <w:rsid w:val="002F7462"/>
    <w:rsid w:val="002F7D6D"/>
    <w:rsid w:val="00305B38"/>
    <w:rsid w:val="0030672C"/>
    <w:rsid w:val="0031003E"/>
    <w:rsid w:val="003105B0"/>
    <w:rsid w:val="00310A23"/>
    <w:rsid w:val="003144C1"/>
    <w:rsid w:val="00315021"/>
    <w:rsid w:val="00315511"/>
    <w:rsid w:val="00315FF6"/>
    <w:rsid w:val="00316C5C"/>
    <w:rsid w:val="00316DD3"/>
    <w:rsid w:val="003177AD"/>
    <w:rsid w:val="00320D60"/>
    <w:rsid w:val="00321E01"/>
    <w:rsid w:val="00325423"/>
    <w:rsid w:val="003262B8"/>
    <w:rsid w:val="003275AF"/>
    <w:rsid w:val="00327A2B"/>
    <w:rsid w:val="003300A1"/>
    <w:rsid w:val="00330112"/>
    <w:rsid w:val="003361F7"/>
    <w:rsid w:val="003371D4"/>
    <w:rsid w:val="00340AF1"/>
    <w:rsid w:val="003416BA"/>
    <w:rsid w:val="00341C38"/>
    <w:rsid w:val="00342704"/>
    <w:rsid w:val="00342F24"/>
    <w:rsid w:val="003432C8"/>
    <w:rsid w:val="00344675"/>
    <w:rsid w:val="003463EE"/>
    <w:rsid w:val="0034660B"/>
    <w:rsid w:val="00346F20"/>
    <w:rsid w:val="00350AA2"/>
    <w:rsid w:val="0035393B"/>
    <w:rsid w:val="00353E68"/>
    <w:rsid w:val="003557C1"/>
    <w:rsid w:val="00356988"/>
    <w:rsid w:val="00356C1C"/>
    <w:rsid w:val="00361094"/>
    <w:rsid w:val="003618AD"/>
    <w:rsid w:val="0036245C"/>
    <w:rsid w:val="00365B08"/>
    <w:rsid w:val="00367F96"/>
    <w:rsid w:val="00372752"/>
    <w:rsid w:val="00375B93"/>
    <w:rsid w:val="00376D3D"/>
    <w:rsid w:val="00377E04"/>
    <w:rsid w:val="0038071B"/>
    <w:rsid w:val="00383D92"/>
    <w:rsid w:val="0038458C"/>
    <w:rsid w:val="00385B25"/>
    <w:rsid w:val="00385F95"/>
    <w:rsid w:val="003913B0"/>
    <w:rsid w:val="00391730"/>
    <w:rsid w:val="003917D2"/>
    <w:rsid w:val="00391B9D"/>
    <w:rsid w:val="00391F5D"/>
    <w:rsid w:val="003941A1"/>
    <w:rsid w:val="00394478"/>
    <w:rsid w:val="00396138"/>
    <w:rsid w:val="00396A58"/>
    <w:rsid w:val="00396CD9"/>
    <w:rsid w:val="0039768A"/>
    <w:rsid w:val="00397C84"/>
    <w:rsid w:val="003A089F"/>
    <w:rsid w:val="003A349E"/>
    <w:rsid w:val="003A3A04"/>
    <w:rsid w:val="003A47AB"/>
    <w:rsid w:val="003A562B"/>
    <w:rsid w:val="003A56E6"/>
    <w:rsid w:val="003A73E3"/>
    <w:rsid w:val="003B2646"/>
    <w:rsid w:val="003C1B85"/>
    <w:rsid w:val="003C1C19"/>
    <w:rsid w:val="003C5B4B"/>
    <w:rsid w:val="003C5B67"/>
    <w:rsid w:val="003C6746"/>
    <w:rsid w:val="003C70A6"/>
    <w:rsid w:val="003C7B08"/>
    <w:rsid w:val="003D1B3B"/>
    <w:rsid w:val="003D3AB2"/>
    <w:rsid w:val="003D7139"/>
    <w:rsid w:val="003E071E"/>
    <w:rsid w:val="003E07C1"/>
    <w:rsid w:val="003E2A90"/>
    <w:rsid w:val="003E2C85"/>
    <w:rsid w:val="003E3BA8"/>
    <w:rsid w:val="003E3FA0"/>
    <w:rsid w:val="003E4025"/>
    <w:rsid w:val="003E4BF3"/>
    <w:rsid w:val="003E719D"/>
    <w:rsid w:val="003F0EC1"/>
    <w:rsid w:val="003F1031"/>
    <w:rsid w:val="003F12F0"/>
    <w:rsid w:val="003F1C00"/>
    <w:rsid w:val="003F2139"/>
    <w:rsid w:val="003F2C4D"/>
    <w:rsid w:val="003F3091"/>
    <w:rsid w:val="003F3191"/>
    <w:rsid w:val="003F3B84"/>
    <w:rsid w:val="003F4622"/>
    <w:rsid w:val="003F4E68"/>
    <w:rsid w:val="003F51A2"/>
    <w:rsid w:val="003F60BB"/>
    <w:rsid w:val="003F70A7"/>
    <w:rsid w:val="00400F33"/>
    <w:rsid w:val="004013EF"/>
    <w:rsid w:val="00402EB0"/>
    <w:rsid w:val="004042FE"/>
    <w:rsid w:val="0040567F"/>
    <w:rsid w:val="00406FAB"/>
    <w:rsid w:val="004071C0"/>
    <w:rsid w:val="0041013B"/>
    <w:rsid w:val="00410560"/>
    <w:rsid w:val="00411368"/>
    <w:rsid w:val="0041287A"/>
    <w:rsid w:val="00412C95"/>
    <w:rsid w:val="00413883"/>
    <w:rsid w:val="00414CD3"/>
    <w:rsid w:val="00415483"/>
    <w:rsid w:val="0041729D"/>
    <w:rsid w:val="00417F47"/>
    <w:rsid w:val="00421986"/>
    <w:rsid w:val="00421C42"/>
    <w:rsid w:val="00422A68"/>
    <w:rsid w:val="00423759"/>
    <w:rsid w:val="00425940"/>
    <w:rsid w:val="00426043"/>
    <w:rsid w:val="00427713"/>
    <w:rsid w:val="00431775"/>
    <w:rsid w:val="00437499"/>
    <w:rsid w:val="004421E2"/>
    <w:rsid w:val="004421E8"/>
    <w:rsid w:val="00442BF0"/>
    <w:rsid w:val="0044360F"/>
    <w:rsid w:val="00443705"/>
    <w:rsid w:val="00443FE1"/>
    <w:rsid w:val="00445DB8"/>
    <w:rsid w:val="00446AA4"/>
    <w:rsid w:val="004477DD"/>
    <w:rsid w:val="00447E0B"/>
    <w:rsid w:val="0045074B"/>
    <w:rsid w:val="004519E8"/>
    <w:rsid w:val="004537A1"/>
    <w:rsid w:val="00453E7D"/>
    <w:rsid w:val="00455105"/>
    <w:rsid w:val="0045575E"/>
    <w:rsid w:val="004564E7"/>
    <w:rsid w:val="00456A3A"/>
    <w:rsid w:val="004607CC"/>
    <w:rsid w:val="00461B7A"/>
    <w:rsid w:val="00461EA8"/>
    <w:rsid w:val="00463E27"/>
    <w:rsid w:val="00464728"/>
    <w:rsid w:val="00471143"/>
    <w:rsid w:val="00472A35"/>
    <w:rsid w:val="00473128"/>
    <w:rsid w:val="00477A50"/>
    <w:rsid w:val="00484EE9"/>
    <w:rsid w:val="0048507F"/>
    <w:rsid w:val="0049073C"/>
    <w:rsid w:val="00493765"/>
    <w:rsid w:val="004A2252"/>
    <w:rsid w:val="004A667A"/>
    <w:rsid w:val="004A6FA2"/>
    <w:rsid w:val="004A73DD"/>
    <w:rsid w:val="004A7AD3"/>
    <w:rsid w:val="004B12B6"/>
    <w:rsid w:val="004B2ACC"/>
    <w:rsid w:val="004B35A5"/>
    <w:rsid w:val="004B3ECE"/>
    <w:rsid w:val="004B638F"/>
    <w:rsid w:val="004B65E0"/>
    <w:rsid w:val="004B6A5B"/>
    <w:rsid w:val="004B75FE"/>
    <w:rsid w:val="004C5519"/>
    <w:rsid w:val="004C5E9C"/>
    <w:rsid w:val="004D0B9F"/>
    <w:rsid w:val="004D1B06"/>
    <w:rsid w:val="004D2DE6"/>
    <w:rsid w:val="004D6959"/>
    <w:rsid w:val="004E09E5"/>
    <w:rsid w:val="004E0DDB"/>
    <w:rsid w:val="004E2856"/>
    <w:rsid w:val="004E2A40"/>
    <w:rsid w:val="004E7426"/>
    <w:rsid w:val="004E7A43"/>
    <w:rsid w:val="004F1636"/>
    <w:rsid w:val="004F1706"/>
    <w:rsid w:val="004F1D3B"/>
    <w:rsid w:val="004F1DE5"/>
    <w:rsid w:val="004F676B"/>
    <w:rsid w:val="004F6B2B"/>
    <w:rsid w:val="00500258"/>
    <w:rsid w:val="005036A0"/>
    <w:rsid w:val="00507541"/>
    <w:rsid w:val="00507BEA"/>
    <w:rsid w:val="00510E6D"/>
    <w:rsid w:val="00515531"/>
    <w:rsid w:val="0051568A"/>
    <w:rsid w:val="0051573E"/>
    <w:rsid w:val="00517027"/>
    <w:rsid w:val="00517AA1"/>
    <w:rsid w:val="00517BE3"/>
    <w:rsid w:val="00517F17"/>
    <w:rsid w:val="0052056C"/>
    <w:rsid w:val="00520857"/>
    <w:rsid w:val="00522239"/>
    <w:rsid w:val="00522778"/>
    <w:rsid w:val="00524533"/>
    <w:rsid w:val="00524EA2"/>
    <w:rsid w:val="00524F6E"/>
    <w:rsid w:val="0052569A"/>
    <w:rsid w:val="00526C05"/>
    <w:rsid w:val="0052703F"/>
    <w:rsid w:val="00527485"/>
    <w:rsid w:val="00527946"/>
    <w:rsid w:val="00527A29"/>
    <w:rsid w:val="0053485B"/>
    <w:rsid w:val="0053510D"/>
    <w:rsid w:val="00535172"/>
    <w:rsid w:val="00536116"/>
    <w:rsid w:val="00540016"/>
    <w:rsid w:val="005408F4"/>
    <w:rsid w:val="00542052"/>
    <w:rsid w:val="0054383B"/>
    <w:rsid w:val="005439CF"/>
    <w:rsid w:val="00544113"/>
    <w:rsid w:val="00544191"/>
    <w:rsid w:val="00544F39"/>
    <w:rsid w:val="00545FD6"/>
    <w:rsid w:val="00546041"/>
    <w:rsid w:val="005465E3"/>
    <w:rsid w:val="00547E92"/>
    <w:rsid w:val="00556F75"/>
    <w:rsid w:val="00560C84"/>
    <w:rsid w:val="00560F94"/>
    <w:rsid w:val="00563008"/>
    <w:rsid w:val="005630EF"/>
    <w:rsid w:val="005635F6"/>
    <w:rsid w:val="00567E33"/>
    <w:rsid w:val="00567F9C"/>
    <w:rsid w:val="0057233B"/>
    <w:rsid w:val="00572A86"/>
    <w:rsid w:val="00572F33"/>
    <w:rsid w:val="0057404F"/>
    <w:rsid w:val="0057409A"/>
    <w:rsid w:val="0057494F"/>
    <w:rsid w:val="00574E43"/>
    <w:rsid w:val="00575717"/>
    <w:rsid w:val="00575912"/>
    <w:rsid w:val="005800F3"/>
    <w:rsid w:val="00582085"/>
    <w:rsid w:val="00585D8B"/>
    <w:rsid w:val="00587C1C"/>
    <w:rsid w:val="005928F0"/>
    <w:rsid w:val="00593C38"/>
    <w:rsid w:val="00596BBC"/>
    <w:rsid w:val="0059727C"/>
    <w:rsid w:val="00597F79"/>
    <w:rsid w:val="005A0BB3"/>
    <w:rsid w:val="005A1BF4"/>
    <w:rsid w:val="005A2ECD"/>
    <w:rsid w:val="005A4DEB"/>
    <w:rsid w:val="005A52E6"/>
    <w:rsid w:val="005A788B"/>
    <w:rsid w:val="005B1ABE"/>
    <w:rsid w:val="005B2BDC"/>
    <w:rsid w:val="005B2C21"/>
    <w:rsid w:val="005B3E6E"/>
    <w:rsid w:val="005B4799"/>
    <w:rsid w:val="005B57C4"/>
    <w:rsid w:val="005B76DF"/>
    <w:rsid w:val="005C0F52"/>
    <w:rsid w:val="005C213B"/>
    <w:rsid w:val="005C26E8"/>
    <w:rsid w:val="005C30F5"/>
    <w:rsid w:val="005C31D0"/>
    <w:rsid w:val="005C5545"/>
    <w:rsid w:val="005C6484"/>
    <w:rsid w:val="005C7CC6"/>
    <w:rsid w:val="005D2CA3"/>
    <w:rsid w:val="005D3B54"/>
    <w:rsid w:val="005D61E1"/>
    <w:rsid w:val="005D7389"/>
    <w:rsid w:val="005E14AD"/>
    <w:rsid w:val="005E23F5"/>
    <w:rsid w:val="005E2429"/>
    <w:rsid w:val="005E2FFB"/>
    <w:rsid w:val="005E56CD"/>
    <w:rsid w:val="005E7A7F"/>
    <w:rsid w:val="005F49CA"/>
    <w:rsid w:val="005F586B"/>
    <w:rsid w:val="005F5CDF"/>
    <w:rsid w:val="005F5E7D"/>
    <w:rsid w:val="005F6FDB"/>
    <w:rsid w:val="005F7EF6"/>
    <w:rsid w:val="00601E0B"/>
    <w:rsid w:val="006034EC"/>
    <w:rsid w:val="00604166"/>
    <w:rsid w:val="00604320"/>
    <w:rsid w:val="00605044"/>
    <w:rsid w:val="00607311"/>
    <w:rsid w:val="00610DDD"/>
    <w:rsid w:val="00612930"/>
    <w:rsid w:val="00612EC2"/>
    <w:rsid w:val="00622DFD"/>
    <w:rsid w:val="00623AA1"/>
    <w:rsid w:val="0062463E"/>
    <w:rsid w:val="00625793"/>
    <w:rsid w:val="006312EF"/>
    <w:rsid w:val="00632170"/>
    <w:rsid w:val="00632845"/>
    <w:rsid w:val="00633AD0"/>
    <w:rsid w:val="00633E84"/>
    <w:rsid w:val="0063442E"/>
    <w:rsid w:val="0064287D"/>
    <w:rsid w:val="00643785"/>
    <w:rsid w:val="006508EA"/>
    <w:rsid w:val="00652DAB"/>
    <w:rsid w:val="00652F69"/>
    <w:rsid w:val="0065381F"/>
    <w:rsid w:val="00653C1C"/>
    <w:rsid w:val="00655DFE"/>
    <w:rsid w:val="00656043"/>
    <w:rsid w:val="006568AA"/>
    <w:rsid w:val="006568D6"/>
    <w:rsid w:val="00656EFC"/>
    <w:rsid w:val="00657104"/>
    <w:rsid w:val="00661524"/>
    <w:rsid w:val="006615E0"/>
    <w:rsid w:val="00661858"/>
    <w:rsid w:val="00662352"/>
    <w:rsid w:val="0066322B"/>
    <w:rsid w:val="0066516F"/>
    <w:rsid w:val="00666730"/>
    <w:rsid w:val="00672982"/>
    <w:rsid w:val="00672B5D"/>
    <w:rsid w:val="0067426C"/>
    <w:rsid w:val="00676A2B"/>
    <w:rsid w:val="00676CF3"/>
    <w:rsid w:val="00680A4A"/>
    <w:rsid w:val="00680B2D"/>
    <w:rsid w:val="00681E95"/>
    <w:rsid w:val="00681FFA"/>
    <w:rsid w:val="006826D6"/>
    <w:rsid w:val="0068285E"/>
    <w:rsid w:val="00684178"/>
    <w:rsid w:val="006847EB"/>
    <w:rsid w:val="00684E98"/>
    <w:rsid w:val="00685A2C"/>
    <w:rsid w:val="006873A6"/>
    <w:rsid w:val="00687BCD"/>
    <w:rsid w:val="00690437"/>
    <w:rsid w:val="00690A7C"/>
    <w:rsid w:val="00691FDF"/>
    <w:rsid w:val="006921FC"/>
    <w:rsid w:val="00692550"/>
    <w:rsid w:val="00692BD3"/>
    <w:rsid w:val="0069320E"/>
    <w:rsid w:val="006A019F"/>
    <w:rsid w:val="006A1525"/>
    <w:rsid w:val="006A3399"/>
    <w:rsid w:val="006A45C8"/>
    <w:rsid w:val="006A6493"/>
    <w:rsid w:val="006A664C"/>
    <w:rsid w:val="006B01D1"/>
    <w:rsid w:val="006B041B"/>
    <w:rsid w:val="006B0C17"/>
    <w:rsid w:val="006B0DD7"/>
    <w:rsid w:val="006B33F7"/>
    <w:rsid w:val="006B3FC0"/>
    <w:rsid w:val="006B4556"/>
    <w:rsid w:val="006B51E6"/>
    <w:rsid w:val="006B5517"/>
    <w:rsid w:val="006B5D9C"/>
    <w:rsid w:val="006C0229"/>
    <w:rsid w:val="006C2654"/>
    <w:rsid w:val="006C2DDA"/>
    <w:rsid w:val="006C35FA"/>
    <w:rsid w:val="006C720C"/>
    <w:rsid w:val="006D1865"/>
    <w:rsid w:val="006D2E47"/>
    <w:rsid w:val="006D2E8B"/>
    <w:rsid w:val="006D5377"/>
    <w:rsid w:val="006D7101"/>
    <w:rsid w:val="006E05FF"/>
    <w:rsid w:val="006E3347"/>
    <w:rsid w:val="006E3F1F"/>
    <w:rsid w:val="006E4DFD"/>
    <w:rsid w:val="006E7A35"/>
    <w:rsid w:val="006E7E0C"/>
    <w:rsid w:val="006F16A6"/>
    <w:rsid w:val="006F191A"/>
    <w:rsid w:val="006F2FAF"/>
    <w:rsid w:val="006F3DE3"/>
    <w:rsid w:val="006F3F76"/>
    <w:rsid w:val="006F6AE3"/>
    <w:rsid w:val="006F7A75"/>
    <w:rsid w:val="00701902"/>
    <w:rsid w:val="00704493"/>
    <w:rsid w:val="00704864"/>
    <w:rsid w:val="00705627"/>
    <w:rsid w:val="00705737"/>
    <w:rsid w:val="00705C06"/>
    <w:rsid w:val="007063DE"/>
    <w:rsid w:val="007104FE"/>
    <w:rsid w:val="00713EA5"/>
    <w:rsid w:val="00714D06"/>
    <w:rsid w:val="00721E06"/>
    <w:rsid w:val="00721EBD"/>
    <w:rsid w:val="007233AB"/>
    <w:rsid w:val="0072376B"/>
    <w:rsid w:val="00725144"/>
    <w:rsid w:val="00725668"/>
    <w:rsid w:val="00725A10"/>
    <w:rsid w:val="00727582"/>
    <w:rsid w:val="00732823"/>
    <w:rsid w:val="00732A18"/>
    <w:rsid w:val="00733372"/>
    <w:rsid w:val="00733FF4"/>
    <w:rsid w:val="007346DC"/>
    <w:rsid w:val="0073767A"/>
    <w:rsid w:val="007400BC"/>
    <w:rsid w:val="007408C4"/>
    <w:rsid w:val="007416D2"/>
    <w:rsid w:val="007436B3"/>
    <w:rsid w:val="00744517"/>
    <w:rsid w:val="00753C88"/>
    <w:rsid w:val="00754A53"/>
    <w:rsid w:val="00754B14"/>
    <w:rsid w:val="00754C59"/>
    <w:rsid w:val="00755128"/>
    <w:rsid w:val="0075661A"/>
    <w:rsid w:val="00757C60"/>
    <w:rsid w:val="00757EBD"/>
    <w:rsid w:val="00762261"/>
    <w:rsid w:val="0076300A"/>
    <w:rsid w:val="0076305E"/>
    <w:rsid w:val="0076718F"/>
    <w:rsid w:val="00771DA0"/>
    <w:rsid w:val="00773B1E"/>
    <w:rsid w:val="00773C1C"/>
    <w:rsid w:val="00777AD1"/>
    <w:rsid w:val="007816C2"/>
    <w:rsid w:val="00781736"/>
    <w:rsid w:val="00782B6F"/>
    <w:rsid w:val="00784E9D"/>
    <w:rsid w:val="007853D7"/>
    <w:rsid w:val="00786676"/>
    <w:rsid w:val="00787045"/>
    <w:rsid w:val="00787100"/>
    <w:rsid w:val="00787912"/>
    <w:rsid w:val="0079045B"/>
    <w:rsid w:val="007918D8"/>
    <w:rsid w:val="0079321F"/>
    <w:rsid w:val="00795928"/>
    <w:rsid w:val="007967B7"/>
    <w:rsid w:val="00797DDC"/>
    <w:rsid w:val="007A17D3"/>
    <w:rsid w:val="007A1C94"/>
    <w:rsid w:val="007A23E3"/>
    <w:rsid w:val="007A3FE7"/>
    <w:rsid w:val="007A55EE"/>
    <w:rsid w:val="007A6FDF"/>
    <w:rsid w:val="007A728A"/>
    <w:rsid w:val="007B00B3"/>
    <w:rsid w:val="007B1D23"/>
    <w:rsid w:val="007B21AE"/>
    <w:rsid w:val="007B5E13"/>
    <w:rsid w:val="007B6934"/>
    <w:rsid w:val="007B6971"/>
    <w:rsid w:val="007C0002"/>
    <w:rsid w:val="007C0234"/>
    <w:rsid w:val="007C0457"/>
    <w:rsid w:val="007C0590"/>
    <w:rsid w:val="007C1A5D"/>
    <w:rsid w:val="007C24A6"/>
    <w:rsid w:val="007C36F2"/>
    <w:rsid w:val="007C38B3"/>
    <w:rsid w:val="007C3F0C"/>
    <w:rsid w:val="007C4A02"/>
    <w:rsid w:val="007D0763"/>
    <w:rsid w:val="007D244F"/>
    <w:rsid w:val="007D413D"/>
    <w:rsid w:val="007D7DAE"/>
    <w:rsid w:val="007E0ACA"/>
    <w:rsid w:val="007E30E0"/>
    <w:rsid w:val="007E3679"/>
    <w:rsid w:val="007E69D6"/>
    <w:rsid w:val="007F00DC"/>
    <w:rsid w:val="007F0654"/>
    <w:rsid w:val="007F0D1B"/>
    <w:rsid w:val="007F17B6"/>
    <w:rsid w:val="007F782B"/>
    <w:rsid w:val="00801278"/>
    <w:rsid w:val="00801A31"/>
    <w:rsid w:val="00801BAA"/>
    <w:rsid w:val="00803163"/>
    <w:rsid w:val="00803CD9"/>
    <w:rsid w:val="00803D56"/>
    <w:rsid w:val="00804076"/>
    <w:rsid w:val="00805FC7"/>
    <w:rsid w:val="00806740"/>
    <w:rsid w:val="008069C1"/>
    <w:rsid w:val="00806A43"/>
    <w:rsid w:val="0080760B"/>
    <w:rsid w:val="00810258"/>
    <w:rsid w:val="00810FD0"/>
    <w:rsid w:val="00811CE7"/>
    <w:rsid w:val="0081207C"/>
    <w:rsid w:val="00815AB4"/>
    <w:rsid w:val="0081646A"/>
    <w:rsid w:val="0081677D"/>
    <w:rsid w:val="0081773D"/>
    <w:rsid w:val="00820DAF"/>
    <w:rsid w:val="00822DE2"/>
    <w:rsid w:val="0082534F"/>
    <w:rsid w:val="00826990"/>
    <w:rsid w:val="008277EB"/>
    <w:rsid w:val="008316CF"/>
    <w:rsid w:val="008321CD"/>
    <w:rsid w:val="0083279F"/>
    <w:rsid w:val="00833A4D"/>
    <w:rsid w:val="00833B7F"/>
    <w:rsid w:val="00835D62"/>
    <w:rsid w:val="00835FA0"/>
    <w:rsid w:val="00841B46"/>
    <w:rsid w:val="00841D86"/>
    <w:rsid w:val="008429E5"/>
    <w:rsid w:val="00844C54"/>
    <w:rsid w:val="0084528F"/>
    <w:rsid w:val="00853536"/>
    <w:rsid w:val="00854543"/>
    <w:rsid w:val="00856619"/>
    <w:rsid w:val="00861EB4"/>
    <w:rsid w:val="008634F7"/>
    <w:rsid w:val="00863C70"/>
    <w:rsid w:val="008645FF"/>
    <w:rsid w:val="00866FBC"/>
    <w:rsid w:val="0086706C"/>
    <w:rsid w:val="008670C9"/>
    <w:rsid w:val="00870801"/>
    <w:rsid w:val="00871498"/>
    <w:rsid w:val="00871917"/>
    <w:rsid w:val="00874473"/>
    <w:rsid w:val="00875458"/>
    <w:rsid w:val="00875660"/>
    <w:rsid w:val="00876C16"/>
    <w:rsid w:val="00877E8C"/>
    <w:rsid w:val="00882CB3"/>
    <w:rsid w:val="0088302F"/>
    <w:rsid w:val="008836B1"/>
    <w:rsid w:val="008860E6"/>
    <w:rsid w:val="0088673B"/>
    <w:rsid w:val="008919C3"/>
    <w:rsid w:val="008921B7"/>
    <w:rsid w:val="008921FE"/>
    <w:rsid w:val="008923EF"/>
    <w:rsid w:val="008943C2"/>
    <w:rsid w:val="008945AA"/>
    <w:rsid w:val="008948A8"/>
    <w:rsid w:val="00894AEB"/>
    <w:rsid w:val="008964CC"/>
    <w:rsid w:val="00896A5B"/>
    <w:rsid w:val="008A148F"/>
    <w:rsid w:val="008A1FDC"/>
    <w:rsid w:val="008A282F"/>
    <w:rsid w:val="008A3645"/>
    <w:rsid w:val="008A3A52"/>
    <w:rsid w:val="008A42A9"/>
    <w:rsid w:val="008A4818"/>
    <w:rsid w:val="008A539D"/>
    <w:rsid w:val="008A7D8A"/>
    <w:rsid w:val="008B03F6"/>
    <w:rsid w:val="008B229A"/>
    <w:rsid w:val="008B4211"/>
    <w:rsid w:val="008B67A5"/>
    <w:rsid w:val="008B6FBE"/>
    <w:rsid w:val="008B7095"/>
    <w:rsid w:val="008C06DF"/>
    <w:rsid w:val="008C06F5"/>
    <w:rsid w:val="008C1A44"/>
    <w:rsid w:val="008C2819"/>
    <w:rsid w:val="008C2A78"/>
    <w:rsid w:val="008C480C"/>
    <w:rsid w:val="008C547A"/>
    <w:rsid w:val="008C5765"/>
    <w:rsid w:val="008C6057"/>
    <w:rsid w:val="008C7A69"/>
    <w:rsid w:val="008D1145"/>
    <w:rsid w:val="008D26D6"/>
    <w:rsid w:val="008D378B"/>
    <w:rsid w:val="008D633A"/>
    <w:rsid w:val="008E2F6D"/>
    <w:rsid w:val="008E3997"/>
    <w:rsid w:val="008E6F1A"/>
    <w:rsid w:val="008E6FD6"/>
    <w:rsid w:val="008F040F"/>
    <w:rsid w:val="008F5E4F"/>
    <w:rsid w:val="008F76B7"/>
    <w:rsid w:val="0090456A"/>
    <w:rsid w:val="00904C8E"/>
    <w:rsid w:val="00905678"/>
    <w:rsid w:val="00912144"/>
    <w:rsid w:val="009127FD"/>
    <w:rsid w:val="00913756"/>
    <w:rsid w:val="00913AC9"/>
    <w:rsid w:val="00913DC6"/>
    <w:rsid w:val="0091475D"/>
    <w:rsid w:val="009156DA"/>
    <w:rsid w:val="009178A3"/>
    <w:rsid w:val="00917E19"/>
    <w:rsid w:val="00920184"/>
    <w:rsid w:val="00922D19"/>
    <w:rsid w:val="009235EB"/>
    <w:rsid w:val="00927A78"/>
    <w:rsid w:val="00927B37"/>
    <w:rsid w:val="009314B2"/>
    <w:rsid w:val="009341D1"/>
    <w:rsid w:val="00934DD7"/>
    <w:rsid w:val="00935ADC"/>
    <w:rsid w:val="00936E55"/>
    <w:rsid w:val="009401F9"/>
    <w:rsid w:val="009406AE"/>
    <w:rsid w:val="00940E26"/>
    <w:rsid w:val="00941271"/>
    <w:rsid w:val="0094351F"/>
    <w:rsid w:val="0094394C"/>
    <w:rsid w:val="00947126"/>
    <w:rsid w:val="009515AD"/>
    <w:rsid w:val="009518A0"/>
    <w:rsid w:val="009523B0"/>
    <w:rsid w:val="0095322E"/>
    <w:rsid w:val="009553BC"/>
    <w:rsid w:val="009557F1"/>
    <w:rsid w:val="00956473"/>
    <w:rsid w:val="00957889"/>
    <w:rsid w:val="00957A74"/>
    <w:rsid w:val="009602D0"/>
    <w:rsid w:val="009621A0"/>
    <w:rsid w:val="00962B37"/>
    <w:rsid w:val="00962F1C"/>
    <w:rsid w:val="009648AD"/>
    <w:rsid w:val="00964A02"/>
    <w:rsid w:val="00964CCC"/>
    <w:rsid w:val="0097015D"/>
    <w:rsid w:val="0097041F"/>
    <w:rsid w:val="00970B62"/>
    <w:rsid w:val="00970D47"/>
    <w:rsid w:val="00971CF1"/>
    <w:rsid w:val="0097350A"/>
    <w:rsid w:val="00973CEE"/>
    <w:rsid w:val="00973F9F"/>
    <w:rsid w:val="00975EFE"/>
    <w:rsid w:val="0097759B"/>
    <w:rsid w:val="00981232"/>
    <w:rsid w:val="00982B7F"/>
    <w:rsid w:val="00986D89"/>
    <w:rsid w:val="009904CB"/>
    <w:rsid w:val="009904DA"/>
    <w:rsid w:val="009921AD"/>
    <w:rsid w:val="00993657"/>
    <w:rsid w:val="00994378"/>
    <w:rsid w:val="00994CDB"/>
    <w:rsid w:val="00994DED"/>
    <w:rsid w:val="00995280"/>
    <w:rsid w:val="009953BD"/>
    <w:rsid w:val="009A1EBB"/>
    <w:rsid w:val="009A2980"/>
    <w:rsid w:val="009A2F07"/>
    <w:rsid w:val="009A3CD1"/>
    <w:rsid w:val="009A4823"/>
    <w:rsid w:val="009A5D64"/>
    <w:rsid w:val="009A690C"/>
    <w:rsid w:val="009A7A0A"/>
    <w:rsid w:val="009A7BBF"/>
    <w:rsid w:val="009B0B76"/>
    <w:rsid w:val="009B1378"/>
    <w:rsid w:val="009B53F1"/>
    <w:rsid w:val="009C0689"/>
    <w:rsid w:val="009C29F5"/>
    <w:rsid w:val="009C32C7"/>
    <w:rsid w:val="009C3AF1"/>
    <w:rsid w:val="009C40E8"/>
    <w:rsid w:val="009C55CC"/>
    <w:rsid w:val="009C6C62"/>
    <w:rsid w:val="009C6D50"/>
    <w:rsid w:val="009D3A90"/>
    <w:rsid w:val="009D45BD"/>
    <w:rsid w:val="009D66AE"/>
    <w:rsid w:val="009D7446"/>
    <w:rsid w:val="009D7905"/>
    <w:rsid w:val="009D7F6C"/>
    <w:rsid w:val="009E1774"/>
    <w:rsid w:val="009E2EE3"/>
    <w:rsid w:val="009E35D5"/>
    <w:rsid w:val="009E41DA"/>
    <w:rsid w:val="009E59EC"/>
    <w:rsid w:val="009E5DF8"/>
    <w:rsid w:val="009F04FA"/>
    <w:rsid w:val="009F1A79"/>
    <w:rsid w:val="009F3D8D"/>
    <w:rsid w:val="009F49DB"/>
    <w:rsid w:val="009F5A5C"/>
    <w:rsid w:val="009F76A2"/>
    <w:rsid w:val="009F7F3A"/>
    <w:rsid w:val="00A02A2E"/>
    <w:rsid w:val="00A02C66"/>
    <w:rsid w:val="00A035CE"/>
    <w:rsid w:val="00A054E0"/>
    <w:rsid w:val="00A07505"/>
    <w:rsid w:val="00A07BD9"/>
    <w:rsid w:val="00A107BB"/>
    <w:rsid w:val="00A151D5"/>
    <w:rsid w:val="00A15B05"/>
    <w:rsid w:val="00A16E88"/>
    <w:rsid w:val="00A17D2C"/>
    <w:rsid w:val="00A17ECF"/>
    <w:rsid w:val="00A20088"/>
    <w:rsid w:val="00A20E66"/>
    <w:rsid w:val="00A20EBE"/>
    <w:rsid w:val="00A21CAF"/>
    <w:rsid w:val="00A22280"/>
    <w:rsid w:val="00A26E87"/>
    <w:rsid w:val="00A27596"/>
    <w:rsid w:val="00A33043"/>
    <w:rsid w:val="00A3616C"/>
    <w:rsid w:val="00A41341"/>
    <w:rsid w:val="00A41A45"/>
    <w:rsid w:val="00A42A84"/>
    <w:rsid w:val="00A43255"/>
    <w:rsid w:val="00A4425C"/>
    <w:rsid w:val="00A45B7B"/>
    <w:rsid w:val="00A46B50"/>
    <w:rsid w:val="00A46CD9"/>
    <w:rsid w:val="00A47ECC"/>
    <w:rsid w:val="00A562DA"/>
    <w:rsid w:val="00A56F93"/>
    <w:rsid w:val="00A61353"/>
    <w:rsid w:val="00A63193"/>
    <w:rsid w:val="00A647B1"/>
    <w:rsid w:val="00A65EA5"/>
    <w:rsid w:val="00A66232"/>
    <w:rsid w:val="00A673B1"/>
    <w:rsid w:val="00A708E1"/>
    <w:rsid w:val="00A711C2"/>
    <w:rsid w:val="00A71E3C"/>
    <w:rsid w:val="00A72256"/>
    <w:rsid w:val="00A7465A"/>
    <w:rsid w:val="00A75389"/>
    <w:rsid w:val="00A76643"/>
    <w:rsid w:val="00A80B56"/>
    <w:rsid w:val="00A82A30"/>
    <w:rsid w:val="00A8574E"/>
    <w:rsid w:val="00A8587C"/>
    <w:rsid w:val="00A85918"/>
    <w:rsid w:val="00A91651"/>
    <w:rsid w:val="00A91FA0"/>
    <w:rsid w:val="00A9246D"/>
    <w:rsid w:val="00A92B57"/>
    <w:rsid w:val="00A92CAD"/>
    <w:rsid w:val="00A92D78"/>
    <w:rsid w:val="00A93234"/>
    <w:rsid w:val="00A94142"/>
    <w:rsid w:val="00A94985"/>
    <w:rsid w:val="00A94B35"/>
    <w:rsid w:val="00A968EF"/>
    <w:rsid w:val="00AA03EE"/>
    <w:rsid w:val="00AA0F9A"/>
    <w:rsid w:val="00AA197B"/>
    <w:rsid w:val="00AA2589"/>
    <w:rsid w:val="00AA2F45"/>
    <w:rsid w:val="00AA35D9"/>
    <w:rsid w:val="00AA3FB6"/>
    <w:rsid w:val="00AA534F"/>
    <w:rsid w:val="00AA6297"/>
    <w:rsid w:val="00AA6DC3"/>
    <w:rsid w:val="00AA73FF"/>
    <w:rsid w:val="00AB0DA5"/>
    <w:rsid w:val="00AB15ED"/>
    <w:rsid w:val="00AB560E"/>
    <w:rsid w:val="00AB68E9"/>
    <w:rsid w:val="00AC1220"/>
    <w:rsid w:val="00AC68EC"/>
    <w:rsid w:val="00AC6B22"/>
    <w:rsid w:val="00AC6D92"/>
    <w:rsid w:val="00AC707E"/>
    <w:rsid w:val="00AD0536"/>
    <w:rsid w:val="00AD1215"/>
    <w:rsid w:val="00AD132F"/>
    <w:rsid w:val="00AD1D07"/>
    <w:rsid w:val="00AD335F"/>
    <w:rsid w:val="00AD385E"/>
    <w:rsid w:val="00AD3F68"/>
    <w:rsid w:val="00AD4FAA"/>
    <w:rsid w:val="00AD58E7"/>
    <w:rsid w:val="00AD6E0F"/>
    <w:rsid w:val="00AE1373"/>
    <w:rsid w:val="00AE1F36"/>
    <w:rsid w:val="00AE33A6"/>
    <w:rsid w:val="00AE5673"/>
    <w:rsid w:val="00AE61FE"/>
    <w:rsid w:val="00AE77A9"/>
    <w:rsid w:val="00AF0AD2"/>
    <w:rsid w:val="00AF2D96"/>
    <w:rsid w:val="00AF5BE6"/>
    <w:rsid w:val="00AF6718"/>
    <w:rsid w:val="00AF68DA"/>
    <w:rsid w:val="00AF6A28"/>
    <w:rsid w:val="00B0473E"/>
    <w:rsid w:val="00B0527A"/>
    <w:rsid w:val="00B05DB6"/>
    <w:rsid w:val="00B10288"/>
    <w:rsid w:val="00B123AF"/>
    <w:rsid w:val="00B128AB"/>
    <w:rsid w:val="00B14398"/>
    <w:rsid w:val="00B145CB"/>
    <w:rsid w:val="00B15CCF"/>
    <w:rsid w:val="00B17FDE"/>
    <w:rsid w:val="00B214C9"/>
    <w:rsid w:val="00B21BF2"/>
    <w:rsid w:val="00B21D5F"/>
    <w:rsid w:val="00B23D2D"/>
    <w:rsid w:val="00B24AEF"/>
    <w:rsid w:val="00B25912"/>
    <w:rsid w:val="00B274A8"/>
    <w:rsid w:val="00B2755D"/>
    <w:rsid w:val="00B30667"/>
    <w:rsid w:val="00B33860"/>
    <w:rsid w:val="00B34364"/>
    <w:rsid w:val="00B34A00"/>
    <w:rsid w:val="00B353D5"/>
    <w:rsid w:val="00B36488"/>
    <w:rsid w:val="00B40085"/>
    <w:rsid w:val="00B43CAA"/>
    <w:rsid w:val="00B43D45"/>
    <w:rsid w:val="00B44A26"/>
    <w:rsid w:val="00B456DF"/>
    <w:rsid w:val="00B46552"/>
    <w:rsid w:val="00B5290D"/>
    <w:rsid w:val="00B55F70"/>
    <w:rsid w:val="00B56550"/>
    <w:rsid w:val="00B60B52"/>
    <w:rsid w:val="00B70A8D"/>
    <w:rsid w:val="00B71C49"/>
    <w:rsid w:val="00B80194"/>
    <w:rsid w:val="00B81E0C"/>
    <w:rsid w:val="00B83618"/>
    <w:rsid w:val="00B84FBB"/>
    <w:rsid w:val="00B859AA"/>
    <w:rsid w:val="00B85C26"/>
    <w:rsid w:val="00B86626"/>
    <w:rsid w:val="00B87245"/>
    <w:rsid w:val="00B87477"/>
    <w:rsid w:val="00B87EDD"/>
    <w:rsid w:val="00B91F0F"/>
    <w:rsid w:val="00B944D0"/>
    <w:rsid w:val="00B94F52"/>
    <w:rsid w:val="00BA023D"/>
    <w:rsid w:val="00BA5BCD"/>
    <w:rsid w:val="00BA5F08"/>
    <w:rsid w:val="00BA78A5"/>
    <w:rsid w:val="00BB138F"/>
    <w:rsid w:val="00BB1AF7"/>
    <w:rsid w:val="00BB2330"/>
    <w:rsid w:val="00BB2A75"/>
    <w:rsid w:val="00BB329C"/>
    <w:rsid w:val="00BB37D1"/>
    <w:rsid w:val="00BB3E0B"/>
    <w:rsid w:val="00BB53FA"/>
    <w:rsid w:val="00BC32C3"/>
    <w:rsid w:val="00BC381F"/>
    <w:rsid w:val="00BC425A"/>
    <w:rsid w:val="00BC5589"/>
    <w:rsid w:val="00BC58B9"/>
    <w:rsid w:val="00BD287D"/>
    <w:rsid w:val="00BD475A"/>
    <w:rsid w:val="00BD48D5"/>
    <w:rsid w:val="00BD6239"/>
    <w:rsid w:val="00BE0D76"/>
    <w:rsid w:val="00BE0E97"/>
    <w:rsid w:val="00BE195B"/>
    <w:rsid w:val="00BE1981"/>
    <w:rsid w:val="00BE4AAB"/>
    <w:rsid w:val="00BE6B30"/>
    <w:rsid w:val="00BE7E07"/>
    <w:rsid w:val="00BF0746"/>
    <w:rsid w:val="00BF1C0C"/>
    <w:rsid w:val="00BF2AB7"/>
    <w:rsid w:val="00BF320A"/>
    <w:rsid w:val="00BF3FC7"/>
    <w:rsid w:val="00BF6538"/>
    <w:rsid w:val="00C00346"/>
    <w:rsid w:val="00C013BE"/>
    <w:rsid w:val="00C0403E"/>
    <w:rsid w:val="00C04281"/>
    <w:rsid w:val="00C04E75"/>
    <w:rsid w:val="00C0559D"/>
    <w:rsid w:val="00C05C47"/>
    <w:rsid w:val="00C10397"/>
    <w:rsid w:val="00C10C9A"/>
    <w:rsid w:val="00C11FAA"/>
    <w:rsid w:val="00C13B73"/>
    <w:rsid w:val="00C15EBA"/>
    <w:rsid w:val="00C214A8"/>
    <w:rsid w:val="00C232F7"/>
    <w:rsid w:val="00C23FE5"/>
    <w:rsid w:val="00C24065"/>
    <w:rsid w:val="00C242FC"/>
    <w:rsid w:val="00C31E0F"/>
    <w:rsid w:val="00C33B81"/>
    <w:rsid w:val="00C34637"/>
    <w:rsid w:val="00C360B3"/>
    <w:rsid w:val="00C406F0"/>
    <w:rsid w:val="00C406F7"/>
    <w:rsid w:val="00C40E6B"/>
    <w:rsid w:val="00C4159E"/>
    <w:rsid w:val="00C42342"/>
    <w:rsid w:val="00C441E9"/>
    <w:rsid w:val="00C44FE4"/>
    <w:rsid w:val="00C45A24"/>
    <w:rsid w:val="00C4785F"/>
    <w:rsid w:val="00C50ECB"/>
    <w:rsid w:val="00C51C68"/>
    <w:rsid w:val="00C52C59"/>
    <w:rsid w:val="00C52E7A"/>
    <w:rsid w:val="00C53669"/>
    <w:rsid w:val="00C5394B"/>
    <w:rsid w:val="00C557FE"/>
    <w:rsid w:val="00C57060"/>
    <w:rsid w:val="00C6321D"/>
    <w:rsid w:val="00C63D19"/>
    <w:rsid w:val="00C65215"/>
    <w:rsid w:val="00C65E50"/>
    <w:rsid w:val="00C70A23"/>
    <w:rsid w:val="00C7160F"/>
    <w:rsid w:val="00C71A40"/>
    <w:rsid w:val="00C72FBD"/>
    <w:rsid w:val="00C74EED"/>
    <w:rsid w:val="00C75664"/>
    <w:rsid w:val="00C75F58"/>
    <w:rsid w:val="00C7606A"/>
    <w:rsid w:val="00C80505"/>
    <w:rsid w:val="00C81751"/>
    <w:rsid w:val="00C81EAB"/>
    <w:rsid w:val="00C82314"/>
    <w:rsid w:val="00C8309B"/>
    <w:rsid w:val="00C851A1"/>
    <w:rsid w:val="00C856B6"/>
    <w:rsid w:val="00C85A6D"/>
    <w:rsid w:val="00C91453"/>
    <w:rsid w:val="00C92AD1"/>
    <w:rsid w:val="00C93838"/>
    <w:rsid w:val="00C95050"/>
    <w:rsid w:val="00C95DC9"/>
    <w:rsid w:val="00C96AC8"/>
    <w:rsid w:val="00C96E3B"/>
    <w:rsid w:val="00C97874"/>
    <w:rsid w:val="00CA05EF"/>
    <w:rsid w:val="00CA1825"/>
    <w:rsid w:val="00CA2342"/>
    <w:rsid w:val="00CA27C4"/>
    <w:rsid w:val="00CA378E"/>
    <w:rsid w:val="00CA4737"/>
    <w:rsid w:val="00CA4A92"/>
    <w:rsid w:val="00CA67AA"/>
    <w:rsid w:val="00CA77F8"/>
    <w:rsid w:val="00CA7E58"/>
    <w:rsid w:val="00CB09B2"/>
    <w:rsid w:val="00CB184E"/>
    <w:rsid w:val="00CB301C"/>
    <w:rsid w:val="00CB3CCF"/>
    <w:rsid w:val="00CB46B4"/>
    <w:rsid w:val="00CB50AF"/>
    <w:rsid w:val="00CB5167"/>
    <w:rsid w:val="00CB55CD"/>
    <w:rsid w:val="00CB5769"/>
    <w:rsid w:val="00CB66EB"/>
    <w:rsid w:val="00CB6ADA"/>
    <w:rsid w:val="00CB6CD0"/>
    <w:rsid w:val="00CB7BD8"/>
    <w:rsid w:val="00CC0295"/>
    <w:rsid w:val="00CC2AA1"/>
    <w:rsid w:val="00CC33B5"/>
    <w:rsid w:val="00CC3D8C"/>
    <w:rsid w:val="00CC76E6"/>
    <w:rsid w:val="00CC7AA6"/>
    <w:rsid w:val="00CC7AEF"/>
    <w:rsid w:val="00CD0CEA"/>
    <w:rsid w:val="00CD6649"/>
    <w:rsid w:val="00CE0789"/>
    <w:rsid w:val="00CF121F"/>
    <w:rsid w:val="00CF2A09"/>
    <w:rsid w:val="00CF43D7"/>
    <w:rsid w:val="00CF6AF9"/>
    <w:rsid w:val="00CF7F8F"/>
    <w:rsid w:val="00D01359"/>
    <w:rsid w:val="00D0405D"/>
    <w:rsid w:val="00D050C5"/>
    <w:rsid w:val="00D12788"/>
    <w:rsid w:val="00D13E79"/>
    <w:rsid w:val="00D142A7"/>
    <w:rsid w:val="00D1728F"/>
    <w:rsid w:val="00D22587"/>
    <w:rsid w:val="00D2313E"/>
    <w:rsid w:val="00D23C93"/>
    <w:rsid w:val="00D25A99"/>
    <w:rsid w:val="00D278A1"/>
    <w:rsid w:val="00D32288"/>
    <w:rsid w:val="00D34019"/>
    <w:rsid w:val="00D37901"/>
    <w:rsid w:val="00D4427E"/>
    <w:rsid w:val="00D457F7"/>
    <w:rsid w:val="00D468E9"/>
    <w:rsid w:val="00D50061"/>
    <w:rsid w:val="00D51B6D"/>
    <w:rsid w:val="00D51FF5"/>
    <w:rsid w:val="00D563FC"/>
    <w:rsid w:val="00D568FD"/>
    <w:rsid w:val="00D56A38"/>
    <w:rsid w:val="00D56D8A"/>
    <w:rsid w:val="00D614FF"/>
    <w:rsid w:val="00D6161F"/>
    <w:rsid w:val="00D62273"/>
    <w:rsid w:val="00D623F3"/>
    <w:rsid w:val="00D63884"/>
    <w:rsid w:val="00D63A00"/>
    <w:rsid w:val="00D71ADC"/>
    <w:rsid w:val="00D7255C"/>
    <w:rsid w:val="00D72BFA"/>
    <w:rsid w:val="00D730A4"/>
    <w:rsid w:val="00D73909"/>
    <w:rsid w:val="00D7598E"/>
    <w:rsid w:val="00D807D7"/>
    <w:rsid w:val="00D8126E"/>
    <w:rsid w:val="00D8157C"/>
    <w:rsid w:val="00D85EEA"/>
    <w:rsid w:val="00D86044"/>
    <w:rsid w:val="00D87914"/>
    <w:rsid w:val="00D87F98"/>
    <w:rsid w:val="00D91C3D"/>
    <w:rsid w:val="00D9448D"/>
    <w:rsid w:val="00D96EE5"/>
    <w:rsid w:val="00D97E4D"/>
    <w:rsid w:val="00DA2072"/>
    <w:rsid w:val="00DA20BC"/>
    <w:rsid w:val="00DA4FB7"/>
    <w:rsid w:val="00DA53D0"/>
    <w:rsid w:val="00DA6D2D"/>
    <w:rsid w:val="00DA797F"/>
    <w:rsid w:val="00DA7B61"/>
    <w:rsid w:val="00DA7F0C"/>
    <w:rsid w:val="00DB0D26"/>
    <w:rsid w:val="00DB1661"/>
    <w:rsid w:val="00DB2AE8"/>
    <w:rsid w:val="00DB44D1"/>
    <w:rsid w:val="00DB75D8"/>
    <w:rsid w:val="00DB7B08"/>
    <w:rsid w:val="00DB7FE7"/>
    <w:rsid w:val="00DC12E5"/>
    <w:rsid w:val="00DC334D"/>
    <w:rsid w:val="00DC424F"/>
    <w:rsid w:val="00DC4858"/>
    <w:rsid w:val="00DC65CD"/>
    <w:rsid w:val="00DD097B"/>
    <w:rsid w:val="00DD098A"/>
    <w:rsid w:val="00DD0FD9"/>
    <w:rsid w:val="00DD278A"/>
    <w:rsid w:val="00DD27DC"/>
    <w:rsid w:val="00DD508F"/>
    <w:rsid w:val="00DD5F5A"/>
    <w:rsid w:val="00DD6154"/>
    <w:rsid w:val="00DD6AB4"/>
    <w:rsid w:val="00DD788B"/>
    <w:rsid w:val="00DE0C75"/>
    <w:rsid w:val="00DE3713"/>
    <w:rsid w:val="00DE3B9D"/>
    <w:rsid w:val="00DE4117"/>
    <w:rsid w:val="00DE58DF"/>
    <w:rsid w:val="00DE674F"/>
    <w:rsid w:val="00DE6E5E"/>
    <w:rsid w:val="00DE7433"/>
    <w:rsid w:val="00DF367C"/>
    <w:rsid w:val="00DF3719"/>
    <w:rsid w:val="00DF43D3"/>
    <w:rsid w:val="00DF51BC"/>
    <w:rsid w:val="00DF6F64"/>
    <w:rsid w:val="00DF7F27"/>
    <w:rsid w:val="00E00F60"/>
    <w:rsid w:val="00E019B0"/>
    <w:rsid w:val="00E01F45"/>
    <w:rsid w:val="00E02A14"/>
    <w:rsid w:val="00E03796"/>
    <w:rsid w:val="00E04AF0"/>
    <w:rsid w:val="00E04C5C"/>
    <w:rsid w:val="00E053C9"/>
    <w:rsid w:val="00E054F9"/>
    <w:rsid w:val="00E0570B"/>
    <w:rsid w:val="00E069E0"/>
    <w:rsid w:val="00E074B4"/>
    <w:rsid w:val="00E10C02"/>
    <w:rsid w:val="00E1245E"/>
    <w:rsid w:val="00E12C08"/>
    <w:rsid w:val="00E154B6"/>
    <w:rsid w:val="00E219CE"/>
    <w:rsid w:val="00E24217"/>
    <w:rsid w:val="00E2440F"/>
    <w:rsid w:val="00E26E57"/>
    <w:rsid w:val="00E270E4"/>
    <w:rsid w:val="00E3014C"/>
    <w:rsid w:val="00E32171"/>
    <w:rsid w:val="00E32AC7"/>
    <w:rsid w:val="00E4068F"/>
    <w:rsid w:val="00E4683B"/>
    <w:rsid w:val="00E47140"/>
    <w:rsid w:val="00E5447E"/>
    <w:rsid w:val="00E5532C"/>
    <w:rsid w:val="00E57E53"/>
    <w:rsid w:val="00E606A8"/>
    <w:rsid w:val="00E61A98"/>
    <w:rsid w:val="00E61D55"/>
    <w:rsid w:val="00E63A3A"/>
    <w:rsid w:val="00E63CC1"/>
    <w:rsid w:val="00E64D33"/>
    <w:rsid w:val="00E66B6C"/>
    <w:rsid w:val="00E66EDF"/>
    <w:rsid w:val="00E67FCB"/>
    <w:rsid w:val="00E70CE1"/>
    <w:rsid w:val="00E7110E"/>
    <w:rsid w:val="00E724DC"/>
    <w:rsid w:val="00E7424E"/>
    <w:rsid w:val="00E75AF9"/>
    <w:rsid w:val="00E7602E"/>
    <w:rsid w:val="00E77DDD"/>
    <w:rsid w:val="00E82D94"/>
    <w:rsid w:val="00E92FB8"/>
    <w:rsid w:val="00E9458B"/>
    <w:rsid w:val="00E95B4F"/>
    <w:rsid w:val="00E95C5F"/>
    <w:rsid w:val="00E9725C"/>
    <w:rsid w:val="00EA1F22"/>
    <w:rsid w:val="00EA2D40"/>
    <w:rsid w:val="00EA46FB"/>
    <w:rsid w:val="00EA4706"/>
    <w:rsid w:val="00EB013A"/>
    <w:rsid w:val="00EB60DB"/>
    <w:rsid w:val="00EB6828"/>
    <w:rsid w:val="00EB7756"/>
    <w:rsid w:val="00EB7F03"/>
    <w:rsid w:val="00EC0BEC"/>
    <w:rsid w:val="00EC1427"/>
    <w:rsid w:val="00EC1F35"/>
    <w:rsid w:val="00EC2555"/>
    <w:rsid w:val="00EC3596"/>
    <w:rsid w:val="00EC4272"/>
    <w:rsid w:val="00EC57EA"/>
    <w:rsid w:val="00ED3E26"/>
    <w:rsid w:val="00ED4096"/>
    <w:rsid w:val="00ED420B"/>
    <w:rsid w:val="00ED5E85"/>
    <w:rsid w:val="00ED7E8E"/>
    <w:rsid w:val="00EE02A5"/>
    <w:rsid w:val="00EE08A6"/>
    <w:rsid w:val="00EE224A"/>
    <w:rsid w:val="00EE372C"/>
    <w:rsid w:val="00EE5015"/>
    <w:rsid w:val="00EF1192"/>
    <w:rsid w:val="00EF13E0"/>
    <w:rsid w:val="00EF2A2C"/>
    <w:rsid w:val="00EF3FF5"/>
    <w:rsid w:val="00EF556D"/>
    <w:rsid w:val="00EF5C0A"/>
    <w:rsid w:val="00EF681F"/>
    <w:rsid w:val="00EF7F01"/>
    <w:rsid w:val="00F02066"/>
    <w:rsid w:val="00F05666"/>
    <w:rsid w:val="00F05D0D"/>
    <w:rsid w:val="00F06382"/>
    <w:rsid w:val="00F0661F"/>
    <w:rsid w:val="00F07836"/>
    <w:rsid w:val="00F109ED"/>
    <w:rsid w:val="00F10BB9"/>
    <w:rsid w:val="00F10EB2"/>
    <w:rsid w:val="00F12079"/>
    <w:rsid w:val="00F1240B"/>
    <w:rsid w:val="00F12858"/>
    <w:rsid w:val="00F12E86"/>
    <w:rsid w:val="00F17345"/>
    <w:rsid w:val="00F175B1"/>
    <w:rsid w:val="00F205C4"/>
    <w:rsid w:val="00F21A72"/>
    <w:rsid w:val="00F22CA6"/>
    <w:rsid w:val="00F232C6"/>
    <w:rsid w:val="00F24FD6"/>
    <w:rsid w:val="00F27742"/>
    <w:rsid w:val="00F305D2"/>
    <w:rsid w:val="00F30BBD"/>
    <w:rsid w:val="00F32710"/>
    <w:rsid w:val="00F32968"/>
    <w:rsid w:val="00F332B3"/>
    <w:rsid w:val="00F3446D"/>
    <w:rsid w:val="00F3484A"/>
    <w:rsid w:val="00F3484B"/>
    <w:rsid w:val="00F34B14"/>
    <w:rsid w:val="00F3734E"/>
    <w:rsid w:val="00F379D7"/>
    <w:rsid w:val="00F41539"/>
    <w:rsid w:val="00F41EEF"/>
    <w:rsid w:val="00F440D5"/>
    <w:rsid w:val="00F44321"/>
    <w:rsid w:val="00F47517"/>
    <w:rsid w:val="00F4785A"/>
    <w:rsid w:val="00F47FF6"/>
    <w:rsid w:val="00F5064D"/>
    <w:rsid w:val="00F507BA"/>
    <w:rsid w:val="00F52675"/>
    <w:rsid w:val="00F555EC"/>
    <w:rsid w:val="00F56898"/>
    <w:rsid w:val="00F576DE"/>
    <w:rsid w:val="00F57D70"/>
    <w:rsid w:val="00F62785"/>
    <w:rsid w:val="00F6344D"/>
    <w:rsid w:val="00F6500C"/>
    <w:rsid w:val="00F65AD8"/>
    <w:rsid w:val="00F666EF"/>
    <w:rsid w:val="00F7015B"/>
    <w:rsid w:val="00F7104F"/>
    <w:rsid w:val="00F747E8"/>
    <w:rsid w:val="00F817E5"/>
    <w:rsid w:val="00F84283"/>
    <w:rsid w:val="00F85AD6"/>
    <w:rsid w:val="00F8606B"/>
    <w:rsid w:val="00F863F7"/>
    <w:rsid w:val="00F91511"/>
    <w:rsid w:val="00F92E96"/>
    <w:rsid w:val="00F9388C"/>
    <w:rsid w:val="00F93E0F"/>
    <w:rsid w:val="00F94730"/>
    <w:rsid w:val="00F97245"/>
    <w:rsid w:val="00FA0A26"/>
    <w:rsid w:val="00FA5FA0"/>
    <w:rsid w:val="00FA7074"/>
    <w:rsid w:val="00FA7441"/>
    <w:rsid w:val="00FB051F"/>
    <w:rsid w:val="00FB0CF1"/>
    <w:rsid w:val="00FB1B55"/>
    <w:rsid w:val="00FB25F1"/>
    <w:rsid w:val="00FB2E19"/>
    <w:rsid w:val="00FB38AC"/>
    <w:rsid w:val="00FB4907"/>
    <w:rsid w:val="00FB4F99"/>
    <w:rsid w:val="00FB5F4C"/>
    <w:rsid w:val="00FB6A5B"/>
    <w:rsid w:val="00FB7008"/>
    <w:rsid w:val="00FC11E6"/>
    <w:rsid w:val="00FC4D83"/>
    <w:rsid w:val="00FC5028"/>
    <w:rsid w:val="00FC6221"/>
    <w:rsid w:val="00FD067A"/>
    <w:rsid w:val="00FD1E46"/>
    <w:rsid w:val="00FD211F"/>
    <w:rsid w:val="00FD24E0"/>
    <w:rsid w:val="00FD27C0"/>
    <w:rsid w:val="00FD288B"/>
    <w:rsid w:val="00FD2E77"/>
    <w:rsid w:val="00FD3751"/>
    <w:rsid w:val="00FD64DD"/>
    <w:rsid w:val="00FD695A"/>
    <w:rsid w:val="00FE0313"/>
    <w:rsid w:val="00FE1496"/>
    <w:rsid w:val="00FE2D6D"/>
    <w:rsid w:val="00FE3614"/>
    <w:rsid w:val="00FE4FA1"/>
    <w:rsid w:val="00FF0ACD"/>
    <w:rsid w:val="00FF1204"/>
    <w:rsid w:val="00FF13F0"/>
    <w:rsid w:val="00FF4389"/>
    <w:rsid w:val="00FF43A3"/>
    <w:rsid w:val="00FF5593"/>
    <w:rsid w:val="00FF57E4"/>
    <w:rsid w:val="00FF6EE5"/>
    <w:rsid w:val="00FF7A8C"/>
    <w:rsid w:val="01404B29"/>
    <w:rsid w:val="01495C3F"/>
    <w:rsid w:val="0166261A"/>
    <w:rsid w:val="02886F7B"/>
    <w:rsid w:val="028C23CF"/>
    <w:rsid w:val="02BB78DD"/>
    <w:rsid w:val="02C11FEB"/>
    <w:rsid w:val="03AD300E"/>
    <w:rsid w:val="03AE148F"/>
    <w:rsid w:val="03D949E1"/>
    <w:rsid w:val="048956AF"/>
    <w:rsid w:val="04F55924"/>
    <w:rsid w:val="050634BB"/>
    <w:rsid w:val="055A0802"/>
    <w:rsid w:val="05612DC7"/>
    <w:rsid w:val="057A74D0"/>
    <w:rsid w:val="06067176"/>
    <w:rsid w:val="063D144C"/>
    <w:rsid w:val="06E473E5"/>
    <w:rsid w:val="08093DEA"/>
    <w:rsid w:val="08335F2C"/>
    <w:rsid w:val="088156AD"/>
    <w:rsid w:val="0888503E"/>
    <w:rsid w:val="08B82026"/>
    <w:rsid w:val="08D46CD7"/>
    <w:rsid w:val="08F63261"/>
    <w:rsid w:val="09075A6D"/>
    <w:rsid w:val="09172B79"/>
    <w:rsid w:val="09380C62"/>
    <w:rsid w:val="093A04B0"/>
    <w:rsid w:val="099E149D"/>
    <w:rsid w:val="0AC1213F"/>
    <w:rsid w:val="0AC42DB2"/>
    <w:rsid w:val="0B1414FE"/>
    <w:rsid w:val="0B1A6AE8"/>
    <w:rsid w:val="0B55116A"/>
    <w:rsid w:val="0C0651EE"/>
    <w:rsid w:val="0C67758F"/>
    <w:rsid w:val="0CA56E95"/>
    <w:rsid w:val="0CBC328E"/>
    <w:rsid w:val="0DAE484F"/>
    <w:rsid w:val="0DCB1CD3"/>
    <w:rsid w:val="0E173FF2"/>
    <w:rsid w:val="0E1D2F91"/>
    <w:rsid w:val="0E3E7961"/>
    <w:rsid w:val="0FCF19E0"/>
    <w:rsid w:val="102D1288"/>
    <w:rsid w:val="104C3F69"/>
    <w:rsid w:val="105E2DF7"/>
    <w:rsid w:val="115205DA"/>
    <w:rsid w:val="118151D1"/>
    <w:rsid w:val="11B0317E"/>
    <w:rsid w:val="11BF4E5B"/>
    <w:rsid w:val="127003DF"/>
    <w:rsid w:val="12892241"/>
    <w:rsid w:val="1293082A"/>
    <w:rsid w:val="133F1600"/>
    <w:rsid w:val="13565950"/>
    <w:rsid w:val="138C62BB"/>
    <w:rsid w:val="13C50DBB"/>
    <w:rsid w:val="14924908"/>
    <w:rsid w:val="15762BF8"/>
    <w:rsid w:val="15AF1341"/>
    <w:rsid w:val="15B63803"/>
    <w:rsid w:val="15E0156E"/>
    <w:rsid w:val="160F1ACC"/>
    <w:rsid w:val="160F6C80"/>
    <w:rsid w:val="164D2D46"/>
    <w:rsid w:val="16944643"/>
    <w:rsid w:val="16EE4104"/>
    <w:rsid w:val="16F7627B"/>
    <w:rsid w:val="176B739B"/>
    <w:rsid w:val="178E31DF"/>
    <w:rsid w:val="17C461C1"/>
    <w:rsid w:val="181535FA"/>
    <w:rsid w:val="18277FFF"/>
    <w:rsid w:val="18616DFF"/>
    <w:rsid w:val="190E1833"/>
    <w:rsid w:val="192A4C30"/>
    <w:rsid w:val="192E7B0B"/>
    <w:rsid w:val="1945313E"/>
    <w:rsid w:val="197613BD"/>
    <w:rsid w:val="19F17276"/>
    <w:rsid w:val="1A0330B9"/>
    <w:rsid w:val="1A2A07F2"/>
    <w:rsid w:val="1A9C0E5B"/>
    <w:rsid w:val="1AAF2735"/>
    <w:rsid w:val="1AB35ABA"/>
    <w:rsid w:val="1ABE5592"/>
    <w:rsid w:val="1B094E6D"/>
    <w:rsid w:val="1B2A182B"/>
    <w:rsid w:val="1BB60E1A"/>
    <w:rsid w:val="1BCA2277"/>
    <w:rsid w:val="1C493017"/>
    <w:rsid w:val="1CA6067D"/>
    <w:rsid w:val="1CEE18E7"/>
    <w:rsid w:val="1CF82643"/>
    <w:rsid w:val="1D2E3157"/>
    <w:rsid w:val="1DB61A79"/>
    <w:rsid w:val="1DB91A81"/>
    <w:rsid w:val="1DC57081"/>
    <w:rsid w:val="1DC821D0"/>
    <w:rsid w:val="1E150251"/>
    <w:rsid w:val="1E6D51D8"/>
    <w:rsid w:val="1EAF5E2D"/>
    <w:rsid w:val="1EB673A7"/>
    <w:rsid w:val="1EC14683"/>
    <w:rsid w:val="1F15672E"/>
    <w:rsid w:val="1F47575C"/>
    <w:rsid w:val="1F5A63B6"/>
    <w:rsid w:val="1FA5787A"/>
    <w:rsid w:val="1FE46BF0"/>
    <w:rsid w:val="206A094A"/>
    <w:rsid w:val="20CD3B46"/>
    <w:rsid w:val="20EA2240"/>
    <w:rsid w:val="21132992"/>
    <w:rsid w:val="21236D09"/>
    <w:rsid w:val="213D516E"/>
    <w:rsid w:val="214644B8"/>
    <w:rsid w:val="22320E22"/>
    <w:rsid w:val="22B23329"/>
    <w:rsid w:val="22E25403"/>
    <w:rsid w:val="23C84D9E"/>
    <w:rsid w:val="245A35CB"/>
    <w:rsid w:val="24EC3D2B"/>
    <w:rsid w:val="258847D6"/>
    <w:rsid w:val="25D4790F"/>
    <w:rsid w:val="25FD5250"/>
    <w:rsid w:val="26C142EF"/>
    <w:rsid w:val="26CC22DA"/>
    <w:rsid w:val="26E4556F"/>
    <w:rsid w:val="26ED6C9F"/>
    <w:rsid w:val="26FB054E"/>
    <w:rsid w:val="27955B39"/>
    <w:rsid w:val="288A6697"/>
    <w:rsid w:val="28FC7563"/>
    <w:rsid w:val="295A4CCA"/>
    <w:rsid w:val="299441A4"/>
    <w:rsid w:val="29D964A3"/>
    <w:rsid w:val="2A4A2F38"/>
    <w:rsid w:val="2ADF4A6A"/>
    <w:rsid w:val="2AEA71AC"/>
    <w:rsid w:val="2C0A4146"/>
    <w:rsid w:val="2C5442F1"/>
    <w:rsid w:val="2CD9333E"/>
    <w:rsid w:val="2DDE05BC"/>
    <w:rsid w:val="2E1909AE"/>
    <w:rsid w:val="2E6320B6"/>
    <w:rsid w:val="2EA23B7D"/>
    <w:rsid w:val="2EB1684F"/>
    <w:rsid w:val="2EC16BCF"/>
    <w:rsid w:val="2EC27BA3"/>
    <w:rsid w:val="2EE052A5"/>
    <w:rsid w:val="2EF92640"/>
    <w:rsid w:val="2EFB10A2"/>
    <w:rsid w:val="30157ED6"/>
    <w:rsid w:val="30655971"/>
    <w:rsid w:val="306726BB"/>
    <w:rsid w:val="31220685"/>
    <w:rsid w:val="31386D6B"/>
    <w:rsid w:val="31A26232"/>
    <w:rsid w:val="31A64C52"/>
    <w:rsid w:val="31BE39F8"/>
    <w:rsid w:val="31D646D4"/>
    <w:rsid w:val="32291EAD"/>
    <w:rsid w:val="32531458"/>
    <w:rsid w:val="32BC3674"/>
    <w:rsid w:val="32E26A61"/>
    <w:rsid w:val="332C4C7B"/>
    <w:rsid w:val="33873249"/>
    <w:rsid w:val="33AB23F9"/>
    <w:rsid w:val="34E238E5"/>
    <w:rsid w:val="351165D4"/>
    <w:rsid w:val="355E0625"/>
    <w:rsid w:val="35D97737"/>
    <w:rsid w:val="361324E0"/>
    <w:rsid w:val="36595432"/>
    <w:rsid w:val="374760FA"/>
    <w:rsid w:val="374A1425"/>
    <w:rsid w:val="378717E5"/>
    <w:rsid w:val="37AC6812"/>
    <w:rsid w:val="37C41BE2"/>
    <w:rsid w:val="37CC050B"/>
    <w:rsid w:val="387602E3"/>
    <w:rsid w:val="392E1CC3"/>
    <w:rsid w:val="399412C1"/>
    <w:rsid w:val="3994735E"/>
    <w:rsid w:val="39A628B1"/>
    <w:rsid w:val="39BA1483"/>
    <w:rsid w:val="3A2976C4"/>
    <w:rsid w:val="3A9A0C46"/>
    <w:rsid w:val="3A9C3B10"/>
    <w:rsid w:val="3AA61E55"/>
    <w:rsid w:val="3AB400AF"/>
    <w:rsid w:val="3AB458A4"/>
    <w:rsid w:val="3ABA5F00"/>
    <w:rsid w:val="3AC30F2B"/>
    <w:rsid w:val="3C42536F"/>
    <w:rsid w:val="3D3503C7"/>
    <w:rsid w:val="3D593ED9"/>
    <w:rsid w:val="3D6719A3"/>
    <w:rsid w:val="3DA43C85"/>
    <w:rsid w:val="3DF749C2"/>
    <w:rsid w:val="3E154DAD"/>
    <w:rsid w:val="3E7F5379"/>
    <w:rsid w:val="3EB0799D"/>
    <w:rsid w:val="3FF54CD2"/>
    <w:rsid w:val="4009630B"/>
    <w:rsid w:val="402F6C50"/>
    <w:rsid w:val="40364654"/>
    <w:rsid w:val="403A4424"/>
    <w:rsid w:val="40C91D08"/>
    <w:rsid w:val="43A80E25"/>
    <w:rsid w:val="43E103D7"/>
    <w:rsid w:val="440244EB"/>
    <w:rsid w:val="4517527C"/>
    <w:rsid w:val="45DF780F"/>
    <w:rsid w:val="47084E33"/>
    <w:rsid w:val="47281CB3"/>
    <w:rsid w:val="47321D7A"/>
    <w:rsid w:val="479B22F5"/>
    <w:rsid w:val="47C530EC"/>
    <w:rsid w:val="47DC701D"/>
    <w:rsid w:val="48357D66"/>
    <w:rsid w:val="48EA08C8"/>
    <w:rsid w:val="4995515D"/>
    <w:rsid w:val="49B0096C"/>
    <w:rsid w:val="4A2D3D8A"/>
    <w:rsid w:val="4A785B2A"/>
    <w:rsid w:val="4A925D48"/>
    <w:rsid w:val="4B4D2F8D"/>
    <w:rsid w:val="4B6D2221"/>
    <w:rsid w:val="4B90699D"/>
    <w:rsid w:val="4BE1567D"/>
    <w:rsid w:val="4C0E4D75"/>
    <w:rsid w:val="4C187568"/>
    <w:rsid w:val="4C8C2C3E"/>
    <w:rsid w:val="4C9C5FE6"/>
    <w:rsid w:val="4CF01133"/>
    <w:rsid w:val="4CFE773D"/>
    <w:rsid w:val="4D7D02CB"/>
    <w:rsid w:val="4D874B0F"/>
    <w:rsid w:val="4DB53509"/>
    <w:rsid w:val="4DCB1BD2"/>
    <w:rsid w:val="4DD4222A"/>
    <w:rsid w:val="4DFA406F"/>
    <w:rsid w:val="4E3128E3"/>
    <w:rsid w:val="4E891DB1"/>
    <w:rsid w:val="4E9D5C96"/>
    <w:rsid w:val="4EC669F0"/>
    <w:rsid w:val="4ECD5CC9"/>
    <w:rsid w:val="4F0C39BE"/>
    <w:rsid w:val="4F1405B9"/>
    <w:rsid w:val="4FC651C8"/>
    <w:rsid w:val="505373E4"/>
    <w:rsid w:val="50683104"/>
    <w:rsid w:val="506C47D4"/>
    <w:rsid w:val="51207208"/>
    <w:rsid w:val="51D72897"/>
    <w:rsid w:val="52037443"/>
    <w:rsid w:val="52D6379C"/>
    <w:rsid w:val="52D70B0E"/>
    <w:rsid w:val="52E67ABC"/>
    <w:rsid w:val="52FD6056"/>
    <w:rsid w:val="53221ACD"/>
    <w:rsid w:val="533D35A3"/>
    <w:rsid w:val="535C25FF"/>
    <w:rsid w:val="544F02CE"/>
    <w:rsid w:val="546758C3"/>
    <w:rsid w:val="54710EF6"/>
    <w:rsid w:val="548158F7"/>
    <w:rsid w:val="54916C7E"/>
    <w:rsid w:val="54BA1E30"/>
    <w:rsid w:val="54EA047A"/>
    <w:rsid w:val="557C59DF"/>
    <w:rsid w:val="557C5AA4"/>
    <w:rsid w:val="55C257BB"/>
    <w:rsid w:val="55D7534C"/>
    <w:rsid w:val="56311E06"/>
    <w:rsid w:val="5649493F"/>
    <w:rsid w:val="56C24483"/>
    <w:rsid w:val="56C73C3E"/>
    <w:rsid w:val="56E822D1"/>
    <w:rsid w:val="5718048A"/>
    <w:rsid w:val="57272970"/>
    <w:rsid w:val="5757567A"/>
    <w:rsid w:val="575D029A"/>
    <w:rsid w:val="57A05C78"/>
    <w:rsid w:val="57C240D2"/>
    <w:rsid w:val="57E83BA5"/>
    <w:rsid w:val="583546E3"/>
    <w:rsid w:val="586463DE"/>
    <w:rsid w:val="587A4BC2"/>
    <w:rsid w:val="58914B33"/>
    <w:rsid w:val="58A11BAF"/>
    <w:rsid w:val="58D060BE"/>
    <w:rsid w:val="59074835"/>
    <w:rsid w:val="5A255B55"/>
    <w:rsid w:val="5A5A4E6D"/>
    <w:rsid w:val="5AD50D90"/>
    <w:rsid w:val="5AE40C09"/>
    <w:rsid w:val="5AFF53A7"/>
    <w:rsid w:val="5B53759C"/>
    <w:rsid w:val="5B902C5C"/>
    <w:rsid w:val="5B932E7A"/>
    <w:rsid w:val="5B985B63"/>
    <w:rsid w:val="5B9E534D"/>
    <w:rsid w:val="5BE06A18"/>
    <w:rsid w:val="5C196AC0"/>
    <w:rsid w:val="5C1A06F8"/>
    <w:rsid w:val="5C203A52"/>
    <w:rsid w:val="5C8567A0"/>
    <w:rsid w:val="5C8F15F4"/>
    <w:rsid w:val="5CB564CD"/>
    <w:rsid w:val="5D1367CD"/>
    <w:rsid w:val="5D376A48"/>
    <w:rsid w:val="5ED62A6D"/>
    <w:rsid w:val="5EFA15AA"/>
    <w:rsid w:val="5F1C6B12"/>
    <w:rsid w:val="5F510A64"/>
    <w:rsid w:val="5F995714"/>
    <w:rsid w:val="5FA36EEF"/>
    <w:rsid w:val="5FA6729F"/>
    <w:rsid w:val="5FC614F2"/>
    <w:rsid w:val="602B7EF6"/>
    <w:rsid w:val="60415A06"/>
    <w:rsid w:val="608E59B3"/>
    <w:rsid w:val="609474DB"/>
    <w:rsid w:val="60BD5D94"/>
    <w:rsid w:val="60E71A79"/>
    <w:rsid w:val="613018D5"/>
    <w:rsid w:val="615E4C3A"/>
    <w:rsid w:val="619B3F23"/>
    <w:rsid w:val="61A278D6"/>
    <w:rsid w:val="624652E4"/>
    <w:rsid w:val="624F2F47"/>
    <w:rsid w:val="628B76CC"/>
    <w:rsid w:val="62E161AC"/>
    <w:rsid w:val="62EC6EC7"/>
    <w:rsid w:val="62F3660F"/>
    <w:rsid w:val="63242C67"/>
    <w:rsid w:val="632B1FB8"/>
    <w:rsid w:val="63434495"/>
    <w:rsid w:val="63783785"/>
    <w:rsid w:val="638A3AB9"/>
    <w:rsid w:val="63BC649C"/>
    <w:rsid w:val="63D80DA3"/>
    <w:rsid w:val="641E3C77"/>
    <w:rsid w:val="64552F0D"/>
    <w:rsid w:val="64B36F0D"/>
    <w:rsid w:val="64C5380A"/>
    <w:rsid w:val="6506587E"/>
    <w:rsid w:val="65A2615E"/>
    <w:rsid w:val="65C266E8"/>
    <w:rsid w:val="66136FEE"/>
    <w:rsid w:val="664A09AD"/>
    <w:rsid w:val="66AF64A5"/>
    <w:rsid w:val="676A3751"/>
    <w:rsid w:val="678D3B51"/>
    <w:rsid w:val="67AB31D1"/>
    <w:rsid w:val="67B725AC"/>
    <w:rsid w:val="680D50D6"/>
    <w:rsid w:val="68D97BD1"/>
    <w:rsid w:val="69A33F7B"/>
    <w:rsid w:val="6AC175AE"/>
    <w:rsid w:val="6AF46DCA"/>
    <w:rsid w:val="6B1D1F10"/>
    <w:rsid w:val="6B71362F"/>
    <w:rsid w:val="6B7A159C"/>
    <w:rsid w:val="6BBF260E"/>
    <w:rsid w:val="6BDD603B"/>
    <w:rsid w:val="6BE27A43"/>
    <w:rsid w:val="6C01069F"/>
    <w:rsid w:val="6C1C6F59"/>
    <w:rsid w:val="6C660EA9"/>
    <w:rsid w:val="6CBB164D"/>
    <w:rsid w:val="6D1D74BF"/>
    <w:rsid w:val="6D484B48"/>
    <w:rsid w:val="6E2C2F8C"/>
    <w:rsid w:val="6E46670E"/>
    <w:rsid w:val="6E5243FE"/>
    <w:rsid w:val="6E592D8F"/>
    <w:rsid w:val="6ECF5AF6"/>
    <w:rsid w:val="6F433C40"/>
    <w:rsid w:val="6F853278"/>
    <w:rsid w:val="701774C4"/>
    <w:rsid w:val="702728DB"/>
    <w:rsid w:val="710873A7"/>
    <w:rsid w:val="71F71315"/>
    <w:rsid w:val="723C6ED3"/>
    <w:rsid w:val="726C1286"/>
    <w:rsid w:val="729E61FD"/>
    <w:rsid w:val="734A29F7"/>
    <w:rsid w:val="735A22EB"/>
    <w:rsid w:val="737D07F8"/>
    <w:rsid w:val="739211BF"/>
    <w:rsid w:val="74463482"/>
    <w:rsid w:val="744950B4"/>
    <w:rsid w:val="74517D51"/>
    <w:rsid w:val="74B62CD1"/>
    <w:rsid w:val="74C077C7"/>
    <w:rsid w:val="74CC1698"/>
    <w:rsid w:val="74D3742E"/>
    <w:rsid w:val="74E519C4"/>
    <w:rsid w:val="75AE1FA7"/>
    <w:rsid w:val="75CD54D4"/>
    <w:rsid w:val="76136A98"/>
    <w:rsid w:val="76614508"/>
    <w:rsid w:val="76813279"/>
    <w:rsid w:val="771D0687"/>
    <w:rsid w:val="774C2DEE"/>
    <w:rsid w:val="775E6667"/>
    <w:rsid w:val="784520D9"/>
    <w:rsid w:val="78A56337"/>
    <w:rsid w:val="78BF5F2E"/>
    <w:rsid w:val="78C71A75"/>
    <w:rsid w:val="79777A5C"/>
    <w:rsid w:val="7A761F4D"/>
    <w:rsid w:val="7B0B6C45"/>
    <w:rsid w:val="7B6C4F70"/>
    <w:rsid w:val="7BB67B71"/>
    <w:rsid w:val="7BC071E7"/>
    <w:rsid w:val="7BF12CA9"/>
    <w:rsid w:val="7C926787"/>
    <w:rsid w:val="7CBA1C90"/>
    <w:rsid w:val="7D032FA8"/>
    <w:rsid w:val="7D4C75D7"/>
    <w:rsid w:val="7DB72B2A"/>
    <w:rsid w:val="7E2A176D"/>
    <w:rsid w:val="7E3D622D"/>
    <w:rsid w:val="7EBA0FC3"/>
    <w:rsid w:val="7ECB45C2"/>
    <w:rsid w:val="7EE52ECB"/>
    <w:rsid w:val="7F2E7FB6"/>
    <w:rsid w:val="7F335E8A"/>
    <w:rsid w:val="7F5C5FEA"/>
    <w:rsid w:val="7F5E40E2"/>
    <w:rsid w:val="7F8C710A"/>
    <w:rsid w:val="7F93425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semiHidden="0"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uiPriority="99"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54"/>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53"/>
    <w:qFormat/>
    <w:uiPriority w:val="0"/>
    <w:pPr>
      <w:keepNext/>
      <w:keepLines/>
      <w:spacing w:before="260" w:after="260" w:line="416" w:lineRule="auto"/>
      <w:outlineLvl w:val="2"/>
    </w:pPr>
    <w:rPr>
      <w:b/>
      <w:bCs/>
      <w:sz w:val="32"/>
      <w:szCs w:val="32"/>
    </w:rPr>
  </w:style>
  <w:style w:type="paragraph" w:styleId="7">
    <w:name w:val="heading 4"/>
    <w:basedOn w:val="1"/>
    <w:next w:val="1"/>
    <w:link w:val="51"/>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8"/>
    <w:qFormat/>
    <w:uiPriority w:val="9"/>
    <w:pPr>
      <w:spacing w:before="100" w:beforeAutospacing="1" w:after="100" w:afterAutospacing="1"/>
      <w:jc w:val="left"/>
      <w:outlineLvl w:val="4"/>
    </w:pPr>
    <w:rPr>
      <w:rFonts w:ascii="宋体" w:hAnsi="宋体"/>
      <w:b/>
      <w:kern w:val="0"/>
      <w:sz w:val="20"/>
      <w:szCs w:val="20"/>
    </w:rPr>
  </w:style>
  <w:style w:type="character" w:default="1" w:styleId="29">
    <w:name w:val="Default Paragraph Font"/>
    <w:unhideWhenUsed/>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Adobe Corp ID" w:hAnsi="Times New Roman" w:eastAsia="Adobe Corp ID" w:cs="Times New Roman"/>
      <w:color w:val="000000"/>
      <w:sz w:val="24"/>
      <w:lang w:val="en-US" w:eastAsia="zh-CN" w:bidi="ar-SA"/>
    </w:rPr>
  </w:style>
  <w:style w:type="paragraph" w:styleId="5">
    <w:name w:val="Normal Indent"/>
    <w:basedOn w:val="1"/>
    <w:link w:val="50"/>
    <w:qFormat/>
    <w:uiPriority w:val="0"/>
    <w:pPr>
      <w:ind w:firstLine="420" w:firstLineChars="200"/>
    </w:pPr>
  </w:style>
  <w:style w:type="paragraph" w:styleId="9">
    <w:name w:val="annotation subject"/>
    <w:basedOn w:val="10"/>
    <w:next w:val="10"/>
    <w:link w:val="63"/>
    <w:semiHidden/>
    <w:qFormat/>
    <w:uiPriority w:val="0"/>
    <w:rPr>
      <w:b/>
      <w:bCs/>
    </w:rPr>
  </w:style>
  <w:style w:type="paragraph" w:styleId="10">
    <w:name w:val="annotation text"/>
    <w:basedOn w:val="1"/>
    <w:link w:val="41"/>
    <w:qFormat/>
    <w:uiPriority w:val="0"/>
    <w:pPr>
      <w:jc w:val="left"/>
    </w:pPr>
  </w:style>
  <w:style w:type="paragraph" w:styleId="11">
    <w:name w:val="caption"/>
    <w:basedOn w:val="1"/>
    <w:next w:val="1"/>
    <w:qFormat/>
    <w:uiPriority w:val="0"/>
    <w:pPr>
      <w:spacing w:before="152" w:after="160"/>
    </w:pPr>
    <w:rPr>
      <w:rFonts w:ascii="Arial" w:hAnsi="Arial" w:eastAsia="黑体" w:cs="Arial"/>
      <w:sz w:val="20"/>
      <w:szCs w:val="20"/>
    </w:rPr>
  </w:style>
  <w:style w:type="paragraph" w:styleId="12">
    <w:name w:val="Body Text 3"/>
    <w:basedOn w:val="1"/>
    <w:link w:val="49"/>
    <w:unhideWhenUsed/>
    <w:qFormat/>
    <w:uiPriority w:val="99"/>
    <w:pPr>
      <w:spacing w:after="120"/>
    </w:pPr>
    <w:rPr>
      <w:sz w:val="16"/>
      <w:szCs w:val="16"/>
    </w:rPr>
  </w:style>
  <w:style w:type="paragraph" w:styleId="13">
    <w:name w:val="Body Text"/>
    <w:basedOn w:val="1"/>
    <w:next w:val="14"/>
    <w:link w:val="55"/>
    <w:qFormat/>
    <w:uiPriority w:val="0"/>
    <w:pPr>
      <w:jc w:val="center"/>
    </w:pPr>
  </w:style>
  <w:style w:type="paragraph" w:styleId="14">
    <w:name w:val="Title"/>
    <w:basedOn w:val="1"/>
    <w:next w:val="1"/>
    <w:qFormat/>
    <w:uiPriority w:val="0"/>
    <w:pPr>
      <w:spacing w:before="240" w:after="60"/>
      <w:jc w:val="center"/>
      <w:outlineLvl w:val="0"/>
    </w:pPr>
    <w:rPr>
      <w:rFonts w:ascii="Arial" w:hAnsi="Arial"/>
      <w:b/>
      <w:sz w:val="32"/>
      <w:szCs w:val="20"/>
    </w:rPr>
  </w:style>
  <w:style w:type="paragraph" w:styleId="15">
    <w:name w:val="Body Text Indent"/>
    <w:basedOn w:val="1"/>
    <w:link w:val="56"/>
    <w:uiPriority w:val="0"/>
    <w:pPr>
      <w:ind w:firstLine="830" w:firstLineChars="352"/>
    </w:pPr>
    <w:rPr>
      <w:rFonts w:ascii="仿宋_GB2312" w:eastAsia="仿宋_GB2312"/>
      <w:kern w:val="0"/>
      <w:sz w:val="32"/>
      <w:szCs w:val="20"/>
    </w:rPr>
  </w:style>
  <w:style w:type="paragraph" w:styleId="16">
    <w:name w:val="toc 3"/>
    <w:basedOn w:val="1"/>
    <w:next w:val="1"/>
    <w:uiPriority w:val="39"/>
    <w:pPr>
      <w:tabs>
        <w:tab w:val="right" w:leader="dot" w:pos="9476"/>
      </w:tabs>
      <w:spacing w:line="500" w:lineRule="exact"/>
    </w:pPr>
    <w:rPr>
      <w:rFonts w:eastAsia="仿宋_GB2312"/>
    </w:rPr>
  </w:style>
  <w:style w:type="paragraph" w:styleId="17">
    <w:name w:val="Plain Text"/>
    <w:basedOn w:val="1"/>
    <w:next w:val="7"/>
    <w:link w:val="57"/>
    <w:qFormat/>
    <w:uiPriority w:val="0"/>
    <w:rPr>
      <w:rFonts w:ascii="宋体" w:hAnsi="Courier New"/>
      <w:kern w:val="0"/>
      <w:sz w:val="20"/>
      <w:szCs w:val="21"/>
    </w:rPr>
  </w:style>
  <w:style w:type="paragraph" w:styleId="18">
    <w:name w:val="Date"/>
    <w:basedOn w:val="1"/>
    <w:next w:val="1"/>
    <w:link w:val="58"/>
    <w:uiPriority w:val="0"/>
    <w:pPr>
      <w:ind w:left="100" w:leftChars="2500"/>
    </w:pPr>
  </w:style>
  <w:style w:type="paragraph" w:styleId="19">
    <w:name w:val="Body Text Indent 2"/>
    <w:basedOn w:val="1"/>
    <w:link w:val="59"/>
    <w:qFormat/>
    <w:uiPriority w:val="0"/>
    <w:pPr>
      <w:spacing w:after="120" w:line="480" w:lineRule="auto"/>
      <w:ind w:left="420" w:leftChars="200"/>
    </w:pPr>
  </w:style>
  <w:style w:type="paragraph" w:styleId="20">
    <w:name w:val="Balloon Text"/>
    <w:basedOn w:val="1"/>
    <w:link w:val="60"/>
    <w:semiHidden/>
    <w:uiPriority w:val="99"/>
    <w:rPr>
      <w:sz w:val="18"/>
      <w:szCs w:val="18"/>
    </w:rPr>
  </w:style>
  <w:style w:type="paragraph" w:styleId="21">
    <w:name w:val="footer"/>
    <w:basedOn w:val="1"/>
    <w:link w:val="61"/>
    <w:unhideWhenUsed/>
    <w:qFormat/>
    <w:uiPriority w:val="0"/>
    <w:pPr>
      <w:tabs>
        <w:tab w:val="center" w:pos="4153"/>
        <w:tab w:val="right" w:pos="8306"/>
      </w:tabs>
      <w:snapToGrid w:val="0"/>
      <w:jc w:val="left"/>
    </w:pPr>
    <w:rPr>
      <w:kern w:val="0"/>
      <w:sz w:val="18"/>
      <w:szCs w:val="18"/>
    </w:rPr>
  </w:style>
  <w:style w:type="paragraph" w:styleId="22">
    <w:name w:val="Body Text First Indent 2"/>
    <w:basedOn w:val="15"/>
    <w:qFormat/>
    <w:uiPriority w:val="0"/>
    <w:pPr>
      <w:ind w:firstLine="420" w:firstLineChars="200"/>
    </w:pPr>
  </w:style>
  <w:style w:type="paragraph" w:styleId="23">
    <w:name w:val="header"/>
    <w:basedOn w:val="1"/>
    <w:link w:val="43"/>
    <w:unhideWhenUsed/>
    <w:uiPriority w:val="0"/>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qFormat/>
    <w:uiPriority w:val="39"/>
  </w:style>
  <w:style w:type="paragraph" w:styleId="25">
    <w:name w:val="List"/>
    <w:basedOn w:val="1"/>
    <w:qFormat/>
    <w:uiPriority w:val="0"/>
    <w:pPr>
      <w:ind w:left="200" w:hanging="200" w:hangingChars="200"/>
    </w:pPr>
    <w:rPr>
      <w:sz w:val="28"/>
    </w:rPr>
  </w:style>
  <w:style w:type="paragraph" w:styleId="26">
    <w:name w:val="Body Text Indent 3"/>
    <w:basedOn w:val="1"/>
    <w:link w:val="42"/>
    <w:unhideWhenUsed/>
    <w:uiPriority w:val="99"/>
    <w:pPr>
      <w:spacing w:after="120"/>
      <w:ind w:left="420" w:leftChars="200"/>
    </w:pPr>
    <w:rPr>
      <w:sz w:val="16"/>
      <w:szCs w:val="16"/>
    </w:rPr>
  </w:style>
  <w:style w:type="paragraph" w:styleId="27">
    <w:name w:val="HTML Preformatted"/>
    <w:basedOn w:val="1"/>
    <w:link w:val="6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8">
    <w:name w:val="Normal (Web)"/>
    <w:basedOn w:val="1"/>
    <w:qFormat/>
    <w:uiPriority w:val="99"/>
    <w:pPr>
      <w:widowControl/>
      <w:spacing w:before="100" w:beforeAutospacing="1" w:after="100" w:afterAutospacing="1"/>
      <w:jc w:val="left"/>
    </w:pPr>
    <w:rPr>
      <w:rFonts w:hint="eastAsia" w:ascii="宋体" w:hAnsi="宋体"/>
      <w:kern w:val="0"/>
      <w:sz w:val="24"/>
    </w:rPr>
  </w:style>
  <w:style w:type="character" w:styleId="30">
    <w:name w:val="Strong"/>
    <w:qFormat/>
    <w:uiPriority w:val="22"/>
    <w:rPr>
      <w:b/>
      <w:bCs/>
    </w:rPr>
  </w:style>
  <w:style w:type="character" w:styleId="31">
    <w:name w:val="page number"/>
    <w:uiPriority w:val="0"/>
  </w:style>
  <w:style w:type="character" w:styleId="32">
    <w:name w:val="FollowedHyperlink"/>
    <w:uiPriority w:val="0"/>
    <w:rPr>
      <w:color w:val="800080"/>
      <w:u w:val="single"/>
    </w:rPr>
  </w:style>
  <w:style w:type="character" w:styleId="33">
    <w:name w:val="Emphasis"/>
    <w:qFormat/>
    <w:uiPriority w:val="20"/>
    <w:rPr>
      <w:i/>
      <w:iCs/>
    </w:rPr>
  </w:style>
  <w:style w:type="character" w:styleId="34">
    <w:name w:val="Hyperlink"/>
    <w:uiPriority w:val="0"/>
    <w:rPr>
      <w:color w:val="0000FF"/>
      <w:u w:val="single"/>
    </w:rPr>
  </w:style>
  <w:style w:type="character" w:styleId="35">
    <w:name w:val="annotation reference"/>
    <w:semiHidden/>
    <w:uiPriority w:val="0"/>
    <w:rPr>
      <w:sz w:val="21"/>
      <w:szCs w:val="21"/>
    </w:rPr>
  </w:style>
  <w:style w:type="character" w:styleId="36">
    <w:name w:val="HTML Cite"/>
    <w:qFormat/>
    <w:uiPriority w:val="0"/>
  </w:style>
  <w:style w:type="table" w:styleId="38">
    <w:name w:val="Table Grid"/>
    <w:basedOn w:val="3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9">
    <w:name w:val="标题 3 Char"/>
    <w:uiPriority w:val="0"/>
    <w:rPr>
      <w:rFonts w:eastAsia="宋体"/>
      <w:b/>
      <w:bCs/>
      <w:kern w:val="2"/>
      <w:sz w:val="32"/>
      <w:szCs w:val="32"/>
      <w:lang w:val="en-US" w:eastAsia="zh-CN" w:bidi="ar-SA"/>
    </w:rPr>
  </w:style>
  <w:style w:type="character" w:customStyle="1" w:styleId="40">
    <w:name w:val="标题 1 Char"/>
    <w:link w:val="3"/>
    <w:uiPriority w:val="0"/>
    <w:rPr>
      <w:b/>
      <w:bCs/>
      <w:kern w:val="44"/>
      <w:sz w:val="44"/>
      <w:szCs w:val="44"/>
    </w:rPr>
  </w:style>
  <w:style w:type="character" w:customStyle="1" w:styleId="41">
    <w:name w:val="批注文字 Char"/>
    <w:link w:val="10"/>
    <w:uiPriority w:val="0"/>
    <w:rPr>
      <w:rFonts w:ascii="Times New Roman" w:hAnsi="Times New Roman"/>
      <w:kern w:val="2"/>
      <w:sz w:val="21"/>
      <w:szCs w:val="24"/>
    </w:rPr>
  </w:style>
  <w:style w:type="character" w:customStyle="1" w:styleId="42">
    <w:name w:val="正文文本缩进 3 Char"/>
    <w:link w:val="26"/>
    <w:semiHidden/>
    <w:uiPriority w:val="99"/>
    <w:rPr>
      <w:kern w:val="2"/>
      <w:sz w:val="16"/>
      <w:szCs w:val="16"/>
    </w:rPr>
  </w:style>
  <w:style w:type="character" w:customStyle="1" w:styleId="43">
    <w:name w:val="页眉 Char"/>
    <w:link w:val="23"/>
    <w:qFormat/>
    <w:uiPriority w:val="0"/>
    <w:rPr>
      <w:sz w:val="18"/>
      <w:szCs w:val="18"/>
    </w:rPr>
  </w:style>
  <w:style w:type="character" w:customStyle="1" w:styleId="44">
    <w:name w:val="纯文本 Char1"/>
    <w:uiPriority w:val="0"/>
    <w:rPr>
      <w:rFonts w:ascii="宋体" w:hAnsi="Courier New" w:eastAsia="宋体" w:cs="Courier New"/>
      <w:szCs w:val="21"/>
    </w:rPr>
  </w:style>
  <w:style w:type="character" w:customStyle="1" w:styleId="45">
    <w:name w:val="普通文字 Char Char3"/>
    <w:uiPriority w:val="0"/>
    <w:rPr>
      <w:rFonts w:ascii="宋体" w:hAnsi="Courier New" w:eastAsia="宋体"/>
      <w:kern w:val="2"/>
      <w:sz w:val="21"/>
      <w:lang w:val="en-US" w:eastAsia="zh-CN" w:bidi="ar-SA"/>
    </w:rPr>
  </w:style>
  <w:style w:type="character" w:customStyle="1" w:styleId="46">
    <w:name w:val="Char Char3"/>
    <w:qFormat/>
    <w:uiPriority w:val="0"/>
    <w:rPr>
      <w:rFonts w:ascii="宋体" w:hAnsi="Courier New" w:eastAsia="宋体"/>
      <w:b/>
      <w:kern w:val="2"/>
      <w:sz w:val="21"/>
      <w:lang w:val="en-US" w:eastAsia="zh-CN"/>
    </w:rPr>
  </w:style>
  <w:style w:type="character" w:customStyle="1" w:styleId="47">
    <w:name w:val="纯文本 Char"/>
    <w:qFormat/>
    <w:uiPriority w:val="0"/>
    <w:rPr>
      <w:rFonts w:ascii="宋体" w:hAnsi="Courier New" w:eastAsia="宋体"/>
      <w:szCs w:val="21"/>
      <w:lang w:bidi="ar-SA"/>
    </w:rPr>
  </w:style>
  <w:style w:type="character" w:customStyle="1" w:styleId="48">
    <w:name w:val="标题 5 Char"/>
    <w:link w:val="8"/>
    <w:uiPriority w:val="9"/>
    <w:rPr>
      <w:rFonts w:ascii="宋体" w:hAnsi="宋体" w:cs="宋体"/>
      <w:b/>
    </w:rPr>
  </w:style>
  <w:style w:type="character" w:customStyle="1" w:styleId="49">
    <w:name w:val="正文文本 3 Char"/>
    <w:link w:val="12"/>
    <w:semiHidden/>
    <w:uiPriority w:val="99"/>
    <w:rPr>
      <w:kern w:val="2"/>
      <w:sz w:val="16"/>
      <w:szCs w:val="16"/>
    </w:rPr>
  </w:style>
  <w:style w:type="character" w:customStyle="1" w:styleId="50">
    <w:name w:val="正文缩进 Char"/>
    <w:link w:val="5"/>
    <w:uiPriority w:val="0"/>
    <w:rPr>
      <w:kern w:val="2"/>
      <w:sz w:val="21"/>
      <w:szCs w:val="24"/>
    </w:rPr>
  </w:style>
  <w:style w:type="character" w:customStyle="1" w:styleId="51">
    <w:name w:val="标题 4 Char"/>
    <w:link w:val="7"/>
    <w:uiPriority w:val="9"/>
    <w:rPr>
      <w:rFonts w:ascii="宋体" w:hAnsi="宋体"/>
      <w:b/>
      <w:sz w:val="24"/>
      <w:szCs w:val="24"/>
    </w:rPr>
  </w:style>
  <w:style w:type="character" w:customStyle="1" w:styleId="52">
    <w:name w:val="页脚 字符"/>
    <w:uiPriority w:val="99"/>
    <w:rPr>
      <w:rFonts w:ascii="Times New Roman" w:hAnsi="Times New Roman" w:eastAsia="宋体" w:cs="Times New Roman"/>
      <w:sz w:val="18"/>
      <w:szCs w:val="18"/>
    </w:rPr>
  </w:style>
  <w:style w:type="character" w:customStyle="1" w:styleId="53">
    <w:name w:val="标题 3 Char1"/>
    <w:link w:val="6"/>
    <w:qFormat/>
    <w:uiPriority w:val="0"/>
    <w:rPr>
      <w:b/>
      <w:bCs/>
      <w:kern w:val="2"/>
      <w:sz w:val="32"/>
      <w:szCs w:val="32"/>
    </w:rPr>
  </w:style>
  <w:style w:type="character" w:customStyle="1" w:styleId="54">
    <w:name w:val="标题 2 Char"/>
    <w:link w:val="4"/>
    <w:uiPriority w:val="0"/>
    <w:rPr>
      <w:rFonts w:ascii="Arial" w:hAnsi="Arial" w:eastAsia="黑体"/>
      <w:b/>
      <w:bCs/>
      <w:kern w:val="2"/>
      <w:sz w:val="32"/>
      <w:szCs w:val="32"/>
    </w:rPr>
  </w:style>
  <w:style w:type="character" w:customStyle="1" w:styleId="55">
    <w:name w:val="正文文本 Char"/>
    <w:link w:val="13"/>
    <w:uiPriority w:val="0"/>
    <w:rPr>
      <w:kern w:val="2"/>
      <w:sz w:val="21"/>
      <w:szCs w:val="24"/>
    </w:rPr>
  </w:style>
  <w:style w:type="character" w:customStyle="1" w:styleId="56">
    <w:name w:val="正文文本缩进 Char"/>
    <w:link w:val="15"/>
    <w:uiPriority w:val="0"/>
    <w:rPr>
      <w:rFonts w:ascii="仿宋_GB2312" w:hAnsi="Times New Roman" w:eastAsia="仿宋_GB2312" w:cs="Times New Roman"/>
      <w:sz w:val="32"/>
      <w:szCs w:val="20"/>
    </w:rPr>
  </w:style>
  <w:style w:type="character" w:customStyle="1" w:styleId="57">
    <w:name w:val="纯文本 Char2"/>
    <w:link w:val="17"/>
    <w:uiPriority w:val="0"/>
    <w:rPr>
      <w:rFonts w:ascii="宋体" w:hAnsi="Courier New" w:eastAsia="宋体" w:cs="Courier New"/>
      <w:szCs w:val="21"/>
    </w:rPr>
  </w:style>
  <w:style w:type="character" w:customStyle="1" w:styleId="58">
    <w:name w:val="日期 Char"/>
    <w:link w:val="18"/>
    <w:qFormat/>
    <w:uiPriority w:val="0"/>
    <w:rPr>
      <w:kern w:val="2"/>
      <w:sz w:val="21"/>
      <w:szCs w:val="24"/>
    </w:rPr>
  </w:style>
  <w:style w:type="character" w:customStyle="1" w:styleId="59">
    <w:name w:val="正文文本缩进 2 Char"/>
    <w:link w:val="19"/>
    <w:qFormat/>
    <w:uiPriority w:val="0"/>
    <w:rPr>
      <w:kern w:val="2"/>
      <w:sz w:val="21"/>
      <w:szCs w:val="24"/>
    </w:rPr>
  </w:style>
  <w:style w:type="character" w:customStyle="1" w:styleId="60">
    <w:name w:val="批注框文本 Char"/>
    <w:link w:val="20"/>
    <w:semiHidden/>
    <w:uiPriority w:val="99"/>
    <w:rPr>
      <w:kern w:val="2"/>
      <w:sz w:val="18"/>
      <w:szCs w:val="18"/>
    </w:rPr>
  </w:style>
  <w:style w:type="character" w:customStyle="1" w:styleId="61">
    <w:name w:val="页脚 Char"/>
    <w:link w:val="21"/>
    <w:uiPriority w:val="0"/>
    <w:rPr>
      <w:sz w:val="18"/>
      <w:szCs w:val="18"/>
    </w:rPr>
  </w:style>
  <w:style w:type="character" w:customStyle="1" w:styleId="62">
    <w:name w:val="HTML 预设格式 Char"/>
    <w:link w:val="27"/>
    <w:qFormat/>
    <w:uiPriority w:val="99"/>
    <w:rPr>
      <w:rFonts w:ascii="宋体" w:hAnsi="宋体" w:cs="宋体"/>
      <w:sz w:val="24"/>
      <w:szCs w:val="24"/>
    </w:rPr>
  </w:style>
  <w:style w:type="character" w:customStyle="1" w:styleId="63">
    <w:name w:val="批注主题 Char"/>
    <w:link w:val="9"/>
    <w:semiHidden/>
    <w:uiPriority w:val="0"/>
    <w:rPr>
      <w:rFonts w:ascii="Times New Roman" w:hAnsi="Times New Roman"/>
      <w:b/>
      <w:bCs/>
      <w:kern w:val="2"/>
      <w:sz w:val="21"/>
      <w:szCs w:val="24"/>
    </w:rPr>
  </w:style>
  <w:style w:type="character" w:customStyle="1" w:styleId="64">
    <w:name w:val="font71"/>
    <w:qFormat/>
    <w:uiPriority w:val="0"/>
    <w:rPr>
      <w:rFonts w:hint="default" w:ascii="Arial" w:hAnsi="Arial" w:cs="Arial"/>
      <w:color w:val="000000"/>
      <w:sz w:val="22"/>
      <w:szCs w:val="22"/>
      <w:u w:val="none"/>
    </w:rPr>
  </w:style>
  <w:style w:type="character" w:customStyle="1" w:styleId="65">
    <w:name w:val="正文文本 字符1"/>
    <w:qFormat/>
    <w:uiPriority w:val="0"/>
    <w:rPr>
      <w:rFonts w:ascii="Times New Roman" w:hAnsi="Times New Roman" w:eastAsia="宋体" w:cs="Times New Roman"/>
      <w:szCs w:val="24"/>
      <w:lang w:val="zh-CN" w:eastAsia="zh-CN"/>
    </w:rPr>
  </w:style>
  <w:style w:type="character" w:customStyle="1" w:styleId="66">
    <w:name w:val="font01"/>
    <w:qFormat/>
    <w:uiPriority w:val="0"/>
    <w:rPr>
      <w:rFonts w:hint="eastAsia" w:ascii="宋体" w:hAnsi="宋体" w:eastAsia="宋体" w:cs="宋体"/>
      <w:b/>
      <w:color w:val="000000"/>
      <w:sz w:val="20"/>
      <w:szCs w:val="20"/>
      <w:u w:val="none"/>
    </w:rPr>
  </w:style>
  <w:style w:type="character" w:customStyle="1" w:styleId="67">
    <w:name w:val="font121"/>
    <w:uiPriority w:val="0"/>
    <w:rPr>
      <w:rFonts w:hint="eastAsia" w:ascii="宋体" w:hAnsi="宋体" w:eastAsia="宋体" w:cs="宋体"/>
      <w:b/>
      <w:bCs/>
      <w:color w:val="000000"/>
      <w:sz w:val="20"/>
      <w:szCs w:val="20"/>
      <w:u w:val="none"/>
    </w:rPr>
  </w:style>
  <w:style w:type="character" w:customStyle="1" w:styleId="68">
    <w:name w:val="font91"/>
    <w:qFormat/>
    <w:uiPriority w:val="0"/>
    <w:rPr>
      <w:rFonts w:hint="default" w:ascii="仿宋_GB2312" w:eastAsia="仿宋_GB2312" w:cs="仿宋_GB2312"/>
      <w:color w:val="000000"/>
      <w:sz w:val="22"/>
      <w:szCs w:val="22"/>
      <w:u w:val="none"/>
    </w:rPr>
  </w:style>
  <w:style w:type="character" w:customStyle="1" w:styleId="69">
    <w:name w:val="纯文本 字符"/>
    <w:uiPriority w:val="0"/>
    <w:rPr>
      <w:rFonts w:ascii="宋体" w:hAnsi="Courier New" w:eastAsia="宋体" w:cs="Courier New"/>
      <w:szCs w:val="21"/>
    </w:rPr>
  </w:style>
  <w:style w:type="character" w:customStyle="1" w:styleId="70">
    <w:name w:val="正文文本1"/>
    <w:qFormat/>
    <w:uiPriority w:val="0"/>
    <w:rPr>
      <w:rFonts w:ascii="MingLiU" w:hAnsi="MingLiU" w:eastAsia="MingLiU" w:cs="MingLiU"/>
      <w:color w:val="000000"/>
      <w:spacing w:val="0"/>
      <w:w w:val="100"/>
      <w:position w:val="0"/>
      <w:sz w:val="22"/>
      <w:szCs w:val="22"/>
      <w:u w:val="none"/>
      <w:lang w:val="zh-TW"/>
    </w:rPr>
  </w:style>
  <w:style w:type="character" w:customStyle="1" w:styleId="71">
    <w:name w:val="页眉 字符"/>
    <w:qFormat/>
    <w:uiPriority w:val="0"/>
    <w:rPr>
      <w:rFonts w:ascii="Times New Roman" w:hAnsi="Times New Roman" w:eastAsia="宋体" w:cs="Times New Roman"/>
      <w:sz w:val="18"/>
      <w:szCs w:val="18"/>
    </w:rPr>
  </w:style>
  <w:style w:type="character" w:customStyle="1" w:styleId="72">
    <w:name w:val="font11"/>
    <w:qFormat/>
    <w:uiPriority w:val="0"/>
    <w:rPr>
      <w:rFonts w:hint="eastAsia" w:ascii="宋体" w:hAnsi="宋体" w:eastAsia="宋体" w:cs="宋体"/>
      <w:color w:val="000000"/>
      <w:sz w:val="20"/>
      <w:szCs w:val="20"/>
      <w:u w:val="none"/>
    </w:rPr>
  </w:style>
  <w:style w:type="character" w:customStyle="1" w:styleId="73">
    <w:name w:val="正文文本缩进 字符"/>
    <w:qFormat/>
    <w:uiPriority w:val="0"/>
    <w:rPr>
      <w:rFonts w:ascii="仿宋_GB2312" w:hAnsi="Times New Roman" w:eastAsia="仿宋_GB2312" w:cs="Times New Roman"/>
      <w:sz w:val="32"/>
      <w:szCs w:val="20"/>
    </w:rPr>
  </w:style>
  <w:style w:type="character" w:customStyle="1" w:styleId="74">
    <w:name w:val="apple-converted-space"/>
    <w:qFormat/>
    <w:uiPriority w:val="0"/>
  </w:style>
  <w:style w:type="character" w:customStyle="1" w:styleId="75">
    <w:name w:val="批注文字 字符1"/>
    <w:qFormat/>
    <w:uiPriority w:val="0"/>
    <w:rPr>
      <w:rFonts w:ascii="Times New Roman" w:hAnsi="Times New Roman" w:eastAsia="宋体" w:cs="Times New Roman"/>
      <w:szCs w:val="24"/>
      <w:lang w:val="zh-CN" w:eastAsia="zh-CN"/>
    </w:rPr>
  </w:style>
  <w:style w:type="paragraph" w:customStyle="1" w:styleId="76">
    <w:name w:val="默认段落字体 Para Char Char Char Char Char Char Char Char Char1 Char Char Char Char Char Char Char"/>
    <w:basedOn w:val="1"/>
    <w:qFormat/>
    <w:uiPriority w:val="0"/>
    <w:rPr>
      <w:b/>
      <w:bCs/>
      <w:sz w:val="36"/>
      <w:szCs w:val="32"/>
    </w:rPr>
  </w:style>
  <w:style w:type="paragraph" w:customStyle="1" w:styleId="77">
    <w:name w:val="Char1"/>
    <w:basedOn w:val="1"/>
    <w:qFormat/>
    <w:uiPriority w:val="0"/>
    <w:rPr>
      <w:rFonts w:ascii="仿宋_GB2312" w:eastAsia="仿宋_GB2312"/>
      <w:b/>
      <w:sz w:val="32"/>
      <w:szCs w:val="32"/>
    </w:rPr>
  </w:style>
  <w:style w:type="paragraph" w:customStyle="1" w:styleId="78">
    <w:name w:val="Revision"/>
    <w:unhideWhenUsed/>
    <w:uiPriority w:val="99"/>
    <w:rPr>
      <w:rFonts w:ascii="Times New Roman" w:hAnsi="Times New Roman" w:eastAsia="宋体" w:cs="Times New Roman"/>
      <w:kern w:val="2"/>
      <w:sz w:val="21"/>
      <w:szCs w:val="24"/>
      <w:lang w:val="en-US" w:eastAsia="zh-CN" w:bidi="ar-SA"/>
    </w:rPr>
  </w:style>
  <w:style w:type="paragraph" w:customStyle="1" w:styleId="79">
    <w:name w:val="Char Char"/>
    <w:basedOn w:val="1"/>
    <w:uiPriority w:val="0"/>
    <w:rPr>
      <w:rFonts w:ascii="仿宋_GB2312" w:eastAsia="仿宋_GB2312"/>
      <w:b/>
      <w:sz w:val="32"/>
      <w:szCs w:val="32"/>
    </w:rPr>
  </w:style>
  <w:style w:type="paragraph" w:customStyle="1" w:styleId="80">
    <w:name w:val="Char1 Char Char Char"/>
    <w:basedOn w:val="1"/>
    <w:uiPriority w:val="0"/>
    <w:rPr>
      <w:rFonts w:ascii="Tahoma" w:hAnsi="Tahoma"/>
      <w:sz w:val="24"/>
      <w:szCs w:val="20"/>
    </w:rPr>
  </w:style>
  <w:style w:type="paragraph" w:customStyle="1" w:styleId="81">
    <w:name w:val="Char1 Char Char Char Char Char"/>
    <w:basedOn w:val="1"/>
    <w:uiPriority w:val="0"/>
    <w:rPr>
      <w:rFonts w:eastAsia="Times New Roman"/>
      <w:b/>
      <w:bCs/>
      <w:kern w:val="0"/>
      <w:sz w:val="36"/>
      <w:szCs w:val="32"/>
    </w:rPr>
  </w:style>
  <w:style w:type="paragraph" w:customStyle="1" w:styleId="82">
    <w:name w:val="列出段落1"/>
    <w:basedOn w:val="1"/>
    <w:qFormat/>
    <w:uiPriority w:val="0"/>
    <w:pPr>
      <w:ind w:firstLine="420" w:firstLineChars="200"/>
    </w:pPr>
  </w:style>
  <w:style w:type="paragraph" w:customStyle="1" w:styleId="83">
    <w:name w:val="表格字体"/>
    <w:basedOn w:val="1"/>
    <w:qFormat/>
    <w:uiPriority w:val="0"/>
    <w:rPr>
      <w:sz w:val="18"/>
      <w:szCs w:val="18"/>
    </w:rPr>
  </w:style>
  <w:style w:type="paragraph" w:customStyle="1" w:styleId="84">
    <w:name w:val="p0"/>
    <w:basedOn w:val="1"/>
    <w:qFormat/>
    <w:uiPriority w:val="0"/>
    <w:pPr>
      <w:widowControl/>
    </w:pPr>
    <w:rPr>
      <w:kern w:val="0"/>
      <w:szCs w:val="21"/>
    </w:rPr>
  </w:style>
  <w:style w:type="paragraph" w:customStyle="1" w:styleId="85">
    <w:name w:val="Char"/>
    <w:basedOn w:val="1"/>
    <w:qFormat/>
    <w:uiPriority w:val="0"/>
  </w:style>
  <w:style w:type="paragraph" w:customStyle="1" w:styleId="86">
    <w:name w:val="_Style 1"/>
    <w:basedOn w:val="1"/>
    <w:qFormat/>
    <w:uiPriority w:val="34"/>
    <w:pPr>
      <w:spacing w:line="560" w:lineRule="exact"/>
      <w:ind w:firstLine="420" w:firstLineChars="200"/>
    </w:pPr>
    <w:rPr>
      <w:szCs w:val="21"/>
    </w:rPr>
  </w:style>
  <w:style w:type="paragraph" w:customStyle="1" w:styleId="87">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88">
    <w:name w:val="List Paragraph"/>
    <w:basedOn w:val="1"/>
    <w:qFormat/>
    <w:uiPriority w:val="34"/>
    <w:pPr>
      <w:ind w:firstLine="420" w:firstLineChars="200"/>
    </w:pPr>
    <w:rPr>
      <w:szCs w:val="20"/>
    </w:rPr>
  </w:style>
  <w:style w:type="paragraph" w:customStyle="1" w:styleId="89">
    <w:name w:val="表格文字"/>
    <w:basedOn w:val="1"/>
    <w:qFormat/>
    <w:uiPriority w:val="0"/>
    <w:pPr>
      <w:spacing w:before="25" w:after="25"/>
      <w:jc w:val="left"/>
    </w:pPr>
    <w:rPr>
      <w:bCs/>
      <w:spacing w:val="10"/>
      <w:kern w:val="0"/>
      <w:sz w:val="24"/>
    </w:rPr>
  </w:style>
  <w:style w:type="paragraph" w:customStyle="1" w:styleId="90">
    <w:name w:val="1"/>
    <w:basedOn w:val="1"/>
    <w:next w:val="17"/>
    <w:qFormat/>
    <w:uiPriority w:val="0"/>
    <w:rPr>
      <w:rFonts w:ascii="宋体" w:hAnsi="Courier New"/>
      <w:szCs w:val="20"/>
    </w:rPr>
  </w:style>
  <w:style w:type="paragraph" w:customStyle="1" w:styleId="91">
    <w:name w:val="彩色列表 - 强调文字颜色 11"/>
    <w:basedOn w:val="1"/>
    <w:qFormat/>
    <w:uiPriority w:val="0"/>
    <w:pPr>
      <w:ind w:firstLine="420" w:firstLineChars="200"/>
    </w:pPr>
    <w:rPr>
      <w:rFonts w:ascii="Calibri" w:hAnsi="Calibri"/>
      <w:szCs w:val="22"/>
    </w:rPr>
  </w:style>
  <w:style w:type="paragraph" w:customStyle="1" w:styleId="92">
    <w:name w:val="bb"/>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93">
    <w:name w:val="_Style 5"/>
    <w:basedOn w:val="1"/>
    <w:qFormat/>
    <w:uiPriority w:val="34"/>
    <w:pPr>
      <w:ind w:firstLine="420" w:firstLineChars="200"/>
    </w:pPr>
  </w:style>
  <w:style w:type="paragraph" w:customStyle="1" w:styleId="94">
    <w:name w:val="Table Paragraph"/>
    <w:basedOn w:val="1"/>
    <w:qFormat/>
    <w:uiPriority w:val="1"/>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3261</Words>
  <Characters>18591</Characters>
  <Lines>154</Lines>
  <Paragraphs>43</Paragraphs>
  <ScaleCrop>false</ScaleCrop>
  <LinksUpToDate>false</LinksUpToDate>
  <CharactersWithSpaces>21809</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2023-11-16T09:47:00Z</dcterms:created>
  <dcterms:modified xsi:type="dcterms:W3CDTF">2023-11-20T02:38:07Z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