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r>
        <w:rPr>
          <w:rFonts w:hint="eastAsia" w:eastAsia="仿宋"/>
          <w:sz w:val="72"/>
          <w:szCs w:val="72"/>
        </w:rPr>
        <w:t>项目</w:t>
      </w:r>
      <w:r>
        <w:rPr>
          <w:rFonts w:eastAsia="仿宋"/>
          <w:sz w:val="72"/>
          <w:szCs w:val="72"/>
        </w:rPr>
        <w:t>采购文件</w:t>
      </w:r>
    </w:p>
    <w:p>
      <w:pPr>
        <w:snapToGrid w:val="0"/>
        <w:spacing w:before="156" w:beforeLines="50" w:line="360" w:lineRule="auto"/>
        <w:rPr>
          <w:rFonts w:eastAsia="仿宋"/>
          <w:sz w:val="30"/>
          <w:szCs w:val="72"/>
        </w:rPr>
      </w:pPr>
    </w:p>
    <w:p>
      <w:pPr>
        <w:pStyle w:val="15"/>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5"/>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jc w:val="center"/>
        <w:rPr>
          <w:rFonts w:eastAsia="仿宋"/>
          <w:b/>
          <w:sz w:val="30"/>
          <w:szCs w:val="72"/>
        </w:rPr>
      </w:pPr>
      <w:r>
        <w:rPr>
          <w:rFonts w:eastAsia="仿宋"/>
          <w:b/>
          <w:sz w:val="30"/>
          <w:szCs w:val="72"/>
        </w:rPr>
        <w:t>项目名称：</w:t>
      </w:r>
      <w:r>
        <w:rPr>
          <w:rFonts w:hint="eastAsia" w:eastAsia="仿宋"/>
          <w:b/>
          <w:sz w:val="30"/>
          <w:szCs w:val="72"/>
        </w:rPr>
        <w:t>广西壮族自治区信息中心项目造价第三方评估服务</w:t>
      </w:r>
    </w:p>
    <w:p>
      <w:pPr>
        <w:pStyle w:val="15"/>
        <w:snapToGrid w:val="0"/>
        <w:spacing w:before="120" w:after="120" w:line="360" w:lineRule="auto"/>
        <w:ind w:firstLine="1656" w:firstLineChars="550"/>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jc w:val="center"/>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1092" w:beforeLines="350" w:after="468" w:afterLines="150" w:line="400" w:lineRule="exact"/>
        <w:jc w:val="center"/>
        <w:rPr>
          <w:rFonts w:ascii="宋体" w:hAnsi="宋体"/>
          <w:b/>
          <w:sz w:val="44"/>
          <w:szCs w:val="44"/>
        </w:rPr>
      </w:pPr>
      <w:r>
        <w:rPr>
          <w:rFonts w:eastAsia="仿宋"/>
          <w:b/>
          <w:bCs/>
          <w:w w:val="95"/>
          <w:sz w:val="30"/>
          <w:szCs w:val="30"/>
        </w:rPr>
        <w:t>202</w:t>
      </w:r>
      <w:r>
        <w:rPr>
          <w:rFonts w:hint="eastAsia" w:eastAsia="仿宋"/>
          <w:b/>
          <w:bCs/>
          <w:w w:val="95"/>
          <w:sz w:val="30"/>
          <w:szCs w:val="30"/>
        </w:rPr>
        <w:t>3</w:t>
      </w:r>
      <w:r>
        <w:rPr>
          <w:rFonts w:eastAsia="仿宋"/>
          <w:b/>
          <w:bCs/>
          <w:w w:val="95"/>
          <w:sz w:val="30"/>
          <w:szCs w:val="30"/>
        </w:rPr>
        <w:t>年</w:t>
      </w:r>
      <w:r>
        <w:rPr>
          <w:rFonts w:hint="eastAsia" w:eastAsia="仿宋"/>
          <w:b/>
          <w:bCs/>
          <w:w w:val="95"/>
          <w:sz w:val="30"/>
          <w:szCs w:val="30"/>
          <w:lang w:val="en-US" w:eastAsia="zh-CN"/>
        </w:rPr>
        <w:t>6</w:t>
      </w:r>
      <w:r>
        <w:rPr>
          <w:rFonts w:eastAsia="仿宋"/>
          <w:b/>
          <w:bCs/>
          <w:w w:val="95"/>
          <w:sz w:val="30"/>
          <w:szCs w:val="30"/>
        </w:rPr>
        <w:t>月</w:t>
      </w:r>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采购公告…………………………………………………………3</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报价人须知及前附表……………………………………………</w:t>
      </w:r>
      <w:r>
        <w:rPr>
          <w:rFonts w:hint="eastAsia" w:ascii="宋体" w:hAnsi="宋体"/>
          <w:b/>
          <w:sz w:val="28"/>
          <w:szCs w:val="32"/>
          <w:lang w:val="en-US" w:eastAsia="zh-CN"/>
        </w:rPr>
        <w:t>4</w:t>
      </w:r>
    </w:p>
    <w:p>
      <w:pPr>
        <w:numPr>
          <w:ilvl w:val="0"/>
          <w:numId w:val="1"/>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…………………………………………………12</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评审办法及成交标准……………………………………………15</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响应文件格式……………………………………………………17</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2"/>
        </w:numPr>
        <w:spacing w:line="500" w:lineRule="exact"/>
        <w:jc w:val="center"/>
        <w:rPr>
          <w:rFonts w:ascii="宋体" w:hAnsi="宋体"/>
          <w:b/>
          <w:sz w:val="28"/>
          <w:szCs w:val="28"/>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rPr>
      </w:pPr>
      <w:r>
        <w:rPr>
          <w:rFonts w:hint="eastAsia" w:ascii="宋体" w:hAnsi="宋体"/>
          <w:b/>
          <w:sz w:val="28"/>
          <w:szCs w:val="28"/>
        </w:rPr>
        <w:t>采购公告</w:t>
      </w:r>
    </w:p>
    <w:p>
      <w:pPr>
        <w:pStyle w:val="89"/>
        <w:spacing w:line="600" w:lineRule="exact"/>
        <w:rPr>
          <w:rFonts w:ascii="宋体" w:hAnsi="宋体"/>
          <w:b/>
          <w:sz w:val="28"/>
          <w:szCs w:val="28"/>
        </w:rPr>
      </w:pPr>
      <w:r>
        <w:rPr>
          <w:rFonts w:hint="eastAsia" w:ascii="宋体" w:hAnsi="宋体"/>
          <w:b/>
          <w:sz w:val="28"/>
          <w:szCs w:val="28"/>
        </w:rPr>
        <w:t>广西壮族自治区信息中心关于广西壮族自治区信息中心项目造价第三方评估服务采购公告</w:t>
      </w:r>
    </w:p>
    <w:p>
      <w:pPr>
        <w:spacing w:line="400" w:lineRule="exact"/>
        <w:ind w:firstLine="480" w:firstLineChars="200"/>
        <w:jc w:val="left"/>
        <w:rPr>
          <w:rFonts w:ascii="宋体" w:hAnsi="宋体"/>
          <w:bCs/>
          <w:sz w:val="24"/>
        </w:rPr>
      </w:pPr>
      <w:r>
        <w:rPr>
          <w:rFonts w:hint="eastAsia" w:ascii="宋体" w:hAnsi="宋体"/>
          <w:bCs/>
          <w:sz w:val="24"/>
        </w:rPr>
        <w:t>根据我中心的工作需求，现就广西壮族自治区信息中心项目造价第三方评估服务进行采购，按照《中华人民共和国政府采购法》等有关规定要求，本着公开、公平、公正的原则，邀请符合条件且有意向承接该项工作的供应商参加报价。</w:t>
      </w:r>
    </w:p>
    <w:p>
      <w:pPr>
        <w:spacing w:line="400" w:lineRule="exact"/>
        <w:ind w:firstLine="482" w:firstLineChars="200"/>
        <w:jc w:val="left"/>
        <w:rPr>
          <w:rFonts w:ascii="宋体" w:hAnsi="宋体"/>
          <w:bCs/>
          <w:sz w:val="24"/>
        </w:rPr>
      </w:pPr>
      <w:r>
        <w:rPr>
          <w:rFonts w:hint="eastAsia" w:ascii="宋体" w:hAnsi="宋体"/>
          <w:b/>
          <w:sz w:val="24"/>
        </w:rPr>
        <w:t>一、采购项目名称：</w:t>
      </w:r>
      <w:r>
        <w:rPr>
          <w:rFonts w:hint="eastAsia" w:ascii="宋体" w:hAnsi="宋体"/>
          <w:bCs/>
          <w:sz w:val="24"/>
        </w:rPr>
        <w:t>广西壮族自治区信息中心项目造价第三方评估服务。</w:t>
      </w:r>
    </w:p>
    <w:p>
      <w:pPr>
        <w:pStyle w:val="38"/>
        <w:ind w:firstLine="480"/>
        <w:rPr>
          <w:rFonts w:ascii="宋体" w:hAnsi="宋体"/>
        </w:rPr>
      </w:pPr>
      <w:r>
        <w:rPr>
          <w:rFonts w:hint="eastAsia" w:ascii="宋体" w:hAnsi="宋体"/>
          <w:b/>
        </w:rPr>
        <w:t>二、采购项目的名称、数量、简要规格描述或项目基本概况介绍：</w:t>
      </w:r>
      <w:r>
        <w:rPr>
          <w:rFonts w:hint="eastAsia" w:ascii="宋体" w:hAnsi="宋体"/>
        </w:rPr>
        <w:t>广西壮族自治区信息中心项目造价第三方评估服务1项，对费用标准为30万元以上、未纳入财政投资评审的项目进行概（预）算评估。具体要求详见采购文件。</w:t>
      </w:r>
    </w:p>
    <w:p>
      <w:pPr>
        <w:pStyle w:val="38"/>
        <w:ind w:firstLine="480"/>
        <w:rPr>
          <w:rFonts w:ascii="宋体" w:hAnsi="宋体"/>
          <w:bCs w:val="0"/>
        </w:rPr>
      </w:pPr>
      <w:r>
        <w:rPr>
          <w:rFonts w:hint="eastAsia" w:ascii="宋体" w:hAnsi="宋体"/>
          <w:b/>
          <w:bCs w:val="0"/>
        </w:rPr>
        <w:t>三、采购预算金额（人民币）：</w:t>
      </w:r>
      <w:r>
        <w:rPr>
          <w:rFonts w:hint="eastAsia" w:ascii="宋体" w:hAnsi="宋体"/>
          <w:bCs w:val="0"/>
        </w:rPr>
        <w:t>贰拾万元整（￥200000.00）。</w:t>
      </w:r>
    </w:p>
    <w:p>
      <w:pPr>
        <w:spacing w:line="400" w:lineRule="exact"/>
        <w:ind w:firstLine="482" w:firstLineChars="200"/>
        <w:jc w:val="left"/>
        <w:rPr>
          <w:rFonts w:ascii="宋体" w:hAnsi="宋体"/>
          <w:b/>
          <w:sz w:val="24"/>
        </w:rPr>
      </w:pPr>
      <w:r>
        <w:rPr>
          <w:rFonts w:hint="eastAsia" w:ascii="宋体" w:hAnsi="宋体"/>
          <w:b/>
          <w:sz w:val="24"/>
        </w:rPr>
        <w:t>四、报价人资格要求：</w:t>
      </w:r>
    </w:p>
    <w:p>
      <w:pPr>
        <w:spacing w:line="400" w:lineRule="exact"/>
        <w:ind w:firstLine="480" w:firstLineChars="200"/>
        <w:jc w:val="left"/>
        <w:rPr>
          <w:rFonts w:ascii="宋体" w:hAnsi="宋体"/>
          <w:bCs/>
          <w:sz w:val="24"/>
        </w:rPr>
      </w:pPr>
      <w:r>
        <w:rPr>
          <w:rFonts w:hint="eastAsia" w:ascii="宋体" w:hAnsi="宋体"/>
          <w:bCs/>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bCs/>
          <w:sz w:val="24"/>
        </w:rPr>
        <w:t>2.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rPr>
      </w:pPr>
      <w:r>
        <w:rPr>
          <w:rFonts w:hint="eastAsia" w:ascii="宋体" w:hAnsi="宋体"/>
          <w:bCs/>
          <w:sz w:val="24"/>
        </w:rPr>
        <w:t xml:space="preserve">3.本项目不接受联合体报价。  </w:t>
      </w:r>
    </w:p>
    <w:p>
      <w:pPr>
        <w:spacing w:line="400" w:lineRule="exact"/>
        <w:ind w:firstLine="482" w:firstLineChars="200"/>
        <w:jc w:val="left"/>
        <w:rPr>
          <w:rFonts w:ascii="宋体" w:hAnsi="宋体"/>
          <w:b/>
          <w:sz w:val="24"/>
        </w:rPr>
      </w:pPr>
      <w:r>
        <w:rPr>
          <w:rFonts w:hint="eastAsia" w:ascii="宋体" w:hAnsi="宋体"/>
          <w:b/>
          <w:sz w:val="24"/>
        </w:rPr>
        <w:t>五、需报送的材料:</w:t>
      </w:r>
    </w:p>
    <w:p>
      <w:pPr>
        <w:spacing w:line="400" w:lineRule="exact"/>
        <w:ind w:firstLine="480" w:firstLineChars="200"/>
        <w:jc w:val="left"/>
        <w:rPr>
          <w:rFonts w:ascii="宋体" w:hAnsi="宋体"/>
          <w:sz w:val="24"/>
        </w:rPr>
      </w:pPr>
      <w:r>
        <w:rPr>
          <w:rFonts w:hint="eastAsia" w:ascii="宋体" w:hAnsi="宋体"/>
          <w:sz w:val="24"/>
        </w:rPr>
        <w:t>1.响应文件；</w:t>
      </w:r>
    </w:p>
    <w:p>
      <w:pPr>
        <w:spacing w:line="400" w:lineRule="exact"/>
        <w:ind w:firstLine="480" w:firstLineChars="200"/>
        <w:jc w:val="left"/>
        <w:rPr>
          <w:rFonts w:ascii="宋体" w:hAnsi="宋体"/>
          <w:bCs/>
          <w:sz w:val="24"/>
        </w:rPr>
      </w:pPr>
      <w:r>
        <w:rPr>
          <w:rFonts w:hint="eastAsia" w:ascii="宋体" w:hAnsi="宋体"/>
          <w:sz w:val="24"/>
        </w:rPr>
        <w:t>2.报价人单位联系人姓名及联系方式。</w:t>
      </w:r>
    </w:p>
    <w:p>
      <w:pPr>
        <w:spacing w:line="400" w:lineRule="exact"/>
        <w:ind w:firstLine="482" w:firstLineChars="200"/>
        <w:jc w:val="left"/>
        <w:rPr>
          <w:rFonts w:ascii="宋体" w:hAnsi="宋体"/>
          <w:b/>
          <w:sz w:val="24"/>
        </w:rPr>
      </w:pPr>
      <w:r>
        <w:rPr>
          <w:rFonts w:hint="eastAsia" w:ascii="宋体" w:hAnsi="宋体"/>
          <w:b/>
          <w:sz w:val="24"/>
        </w:rPr>
        <w:t>六、响应文件递交截止时间和地点：</w:t>
      </w:r>
    </w:p>
    <w:p>
      <w:pPr>
        <w:spacing w:line="400" w:lineRule="exact"/>
        <w:ind w:firstLine="480" w:firstLineChars="200"/>
        <w:jc w:val="left"/>
        <w:rPr>
          <w:rFonts w:ascii="宋体" w:hAnsi="宋体"/>
          <w:bCs/>
          <w:sz w:val="24"/>
        </w:rPr>
      </w:pPr>
      <w:r>
        <w:rPr>
          <w:rFonts w:hint="eastAsia" w:ascii="宋体" w:hAnsi="宋体"/>
          <w:bCs/>
          <w:sz w:val="24"/>
        </w:rPr>
        <w:t>报价人应于</w:t>
      </w:r>
      <w:r>
        <w:rPr>
          <w:rFonts w:hint="eastAsia" w:ascii="宋体" w:hAnsi="宋体"/>
          <w:bCs/>
          <w:sz w:val="24"/>
          <w:highlight w:val="yellow"/>
        </w:rPr>
        <w:t>2023年</w:t>
      </w:r>
      <w:r>
        <w:rPr>
          <w:rFonts w:hint="eastAsia" w:ascii="宋体" w:hAnsi="宋体"/>
          <w:bCs/>
          <w:sz w:val="24"/>
          <w:highlight w:val="yellow"/>
          <w:lang w:val="en-US" w:eastAsia="zh-CN"/>
        </w:rPr>
        <w:t>6</w:t>
      </w:r>
      <w:r>
        <w:rPr>
          <w:rFonts w:hint="eastAsia" w:ascii="宋体" w:hAnsi="宋体"/>
          <w:bCs/>
          <w:sz w:val="24"/>
          <w:highlight w:val="yellow"/>
        </w:rPr>
        <w:t>月</w:t>
      </w:r>
      <w:r>
        <w:rPr>
          <w:rFonts w:hint="eastAsia" w:ascii="宋体" w:hAnsi="宋体"/>
          <w:bCs/>
          <w:sz w:val="24"/>
          <w:highlight w:val="yellow"/>
          <w:lang w:val="en-US" w:eastAsia="zh-CN"/>
        </w:rPr>
        <w:t>19</w:t>
      </w:r>
      <w:r>
        <w:rPr>
          <w:rFonts w:hint="eastAsia" w:ascii="宋体" w:hAnsi="宋体"/>
          <w:bCs/>
          <w:sz w:val="24"/>
          <w:highlight w:val="yellow"/>
        </w:rPr>
        <w:t>日18:00前</w:t>
      </w:r>
      <w:r>
        <w:rPr>
          <w:rFonts w:hint="eastAsia" w:ascii="宋体" w:hAnsi="宋体"/>
          <w:bCs/>
          <w:sz w:val="24"/>
        </w:rPr>
        <w:t>，将响应文件密封提交或邮寄到广西壮族自治区信息中心，逾期送达的将予以拒收（或作无效响应文件处理）。</w:t>
      </w:r>
    </w:p>
    <w:p>
      <w:pPr>
        <w:spacing w:line="400" w:lineRule="exact"/>
        <w:ind w:firstLine="482" w:firstLineChars="200"/>
        <w:jc w:val="left"/>
        <w:rPr>
          <w:rFonts w:ascii="宋体" w:hAnsi="宋体"/>
          <w:b/>
          <w:sz w:val="24"/>
        </w:rPr>
      </w:pPr>
      <w:r>
        <w:rPr>
          <w:rFonts w:hint="eastAsia" w:ascii="宋体" w:hAnsi="宋体"/>
          <w:b/>
          <w:sz w:val="24"/>
        </w:rPr>
        <w:t>七、联系方式及通讯地址：</w:t>
      </w:r>
    </w:p>
    <w:p>
      <w:pPr>
        <w:tabs>
          <w:tab w:val="left" w:pos="6354"/>
        </w:tabs>
        <w:spacing w:line="400" w:lineRule="exact"/>
        <w:ind w:firstLine="480" w:firstLineChars="200"/>
        <w:jc w:val="left"/>
        <w:rPr>
          <w:rFonts w:ascii="宋体" w:hAnsi="宋体"/>
          <w:bCs/>
          <w:sz w:val="24"/>
        </w:rPr>
      </w:pPr>
      <w:r>
        <w:rPr>
          <w:rFonts w:ascii="宋体" w:hAnsi="宋体"/>
          <w:bCs/>
          <w:sz w:val="24"/>
        </w:rPr>
        <w:t>1.</w:t>
      </w:r>
      <w:r>
        <w:rPr>
          <w:rFonts w:hint="eastAsia" w:ascii="宋体" w:hAnsi="宋体"/>
          <w:bCs/>
          <w:sz w:val="24"/>
        </w:rPr>
        <w:t>联系人：韦宝</w:t>
      </w:r>
      <w:r>
        <w:rPr>
          <w:rFonts w:ascii="宋体" w:hAnsi="宋体"/>
          <w:bCs/>
          <w:sz w:val="24"/>
        </w:rPr>
        <w:t>  </w:t>
      </w:r>
      <w:r>
        <w:rPr>
          <w:rFonts w:hint="eastAsia" w:ascii="宋体" w:hAnsi="宋体"/>
          <w:bCs/>
          <w:sz w:val="24"/>
        </w:rPr>
        <w:t>联系电话：0771-6113503</w:t>
      </w:r>
      <w:r>
        <w:rPr>
          <w:rFonts w:hint="eastAsia" w:ascii="宋体" w:hAnsi="宋体"/>
          <w:bCs/>
          <w:sz w:val="24"/>
        </w:rPr>
        <w:tab/>
      </w:r>
    </w:p>
    <w:p>
      <w:pPr>
        <w:spacing w:line="400" w:lineRule="exact"/>
        <w:ind w:firstLine="480" w:firstLineChars="200"/>
        <w:jc w:val="left"/>
        <w:rPr>
          <w:rFonts w:ascii="宋体" w:hAnsi="宋体"/>
          <w:bCs/>
          <w:sz w:val="24"/>
        </w:rPr>
      </w:pPr>
      <w:r>
        <w:rPr>
          <w:rFonts w:hint="eastAsia" w:ascii="宋体" w:hAnsi="宋体"/>
          <w:bCs/>
          <w:sz w:val="24"/>
        </w:rPr>
        <w:t>2.通讯地址：南宁市良庆区体强路18号16楼1608号房，邮编：530221。</w:t>
      </w:r>
    </w:p>
    <w:p>
      <w:pPr>
        <w:spacing w:line="400" w:lineRule="exact"/>
        <w:rPr>
          <w:rFonts w:ascii="宋体" w:hAnsi="宋体"/>
          <w:sz w:val="24"/>
        </w:rPr>
      </w:pPr>
      <w:r>
        <w:rPr>
          <w:rFonts w:hint="eastAsia" w:ascii="宋体" w:hAnsi="宋体"/>
          <w:sz w:val="24"/>
        </w:rPr>
        <w:t xml:space="preserve">                                                        </w:t>
      </w:r>
    </w:p>
    <w:p>
      <w:pPr>
        <w:spacing w:line="400" w:lineRule="exact"/>
        <w:rPr>
          <w:rFonts w:ascii="宋体" w:hAnsi="宋体"/>
          <w:sz w:val="24"/>
        </w:rPr>
      </w:pPr>
    </w:p>
    <w:p>
      <w:pPr>
        <w:spacing w:line="400" w:lineRule="exact"/>
        <w:ind w:firstLine="6840" w:firstLineChars="2850"/>
        <w:rPr>
          <w:rFonts w:ascii="宋体" w:hAnsi="宋体"/>
          <w:bCs/>
          <w:sz w:val="24"/>
        </w:rPr>
      </w:pPr>
      <w:r>
        <w:rPr>
          <w:rFonts w:ascii="宋体" w:hAnsi="宋体"/>
          <w:bCs/>
          <w:sz w:val="24"/>
        </w:rPr>
        <w:t>广西壮族自治区信息中心</w:t>
      </w:r>
    </w:p>
    <w:p>
      <w:pPr>
        <w:spacing w:line="400" w:lineRule="exact"/>
        <w:ind w:firstLine="7320" w:firstLineChars="3050"/>
        <w:jc w:val="left"/>
        <w:rPr>
          <w:rFonts w:ascii="微软雅黑" w:hAnsi="微软雅黑" w:eastAsia="微软雅黑" w:cs="宋体"/>
          <w:color w:val="525353"/>
          <w:kern w:val="0"/>
          <w:sz w:val="37"/>
          <w:szCs w:val="37"/>
        </w:rPr>
      </w:pPr>
      <w:r>
        <w:rPr>
          <w:rFonts w:ascii="宋体" w:hAnsi="宋体"/>
          <w:bCs/>
          <w:sz w:val="24"/>
          <w:highlight w:val="yellow"/>
        </w:rPr>
        <w:t>202</w:t>
      </w:r>
      <w:r>
        <w:rPr>
          <w:rFonts w:hint="eastAsia" w:ascii="宋体" w:hAnsi="宋体"/>
          <w:bCs/>
          <w:sz w:val="24"/>
          <w:highlight w:val="yellow"/>
        </w:rPr>
        <w:t>3</w:t>
      </w:r>
      <w:r>
        <w:rPr>
          <w:rFonts w:ascii="宋体" w:hAnsi="宋体"/>
          <w:bCs/>
          <w:sz w:val="24"/>
          <w:highlight w:val="yellow"/>
        </w:rPr>
        <w:t>年</w:t>
      </w:r>
      <w:r>
        <w:rPr>
          <w:rFonts w:hint="eastAsia" w:ascii="宋体" w:hAnsi="宋体"/>
          <w:bCs/>
          <w:sz w:val="24"/>
          <w:highlight w:val="yellow"/>
          <w:lang w:val="en-US" w:eastAsia="zh-CN"/>
        </w:rPr>
        <w:t>6</w:t>
      </w:r>
      <w:r>
        <w:rPr>
          <w:rFonts w:ascii="宋体" w:hAnsi="宋体"/>
          <w:bCs/>
          <w:sz w:val="24"/>
          <w:highlight w:val="yellow"/>
        </w:rPr>
        <w:t>月</w:t>
      </w:r>
      <w:r>
        <w:rPr>
          <w:rFonts w:hint="eastAsia" w:ascii="宋体" w:hAnsi="宋体"/>
          <w:bCs/>
          <w:sz w:val="24"/>
          <w:highlight w:val="yellow"/>
          <w:lang w:val="en-US" w:eastAsia="zh-CN"/>
        </w:rPr>
        <w:t>12</w:t>
      </w:r>
      <w:r>
        <w:rPr>
          <w:rFonts w:ascii="宋体" w:hAnsi="宋体"/>
          <w:bCs/>
          <w:sz w:val="24"/>
          <w:highlight w:val="yellow"/>
        </w:rPr>
        <w:t>日</w:t>
      </w:r>
      <w:r>
        <w:rPr>
          <w:rFonts w:ascii="Arial" w:hAnsi="Arial" w:eastAsia="微软雅黑" w:cs="Arial"/>
          <w:color w:val="525353"/>
          <w:kern w:val="0"/>
          <w:sz w:val="30"/>
          <w:szCs w:val="30"/>
        </w:rPr>
        <w:t>                                                      </w:t>
      </w:r>
    </w:p>
    <w:p>
      <w:pPr>
        <w:spacing w:line="500" w:lineRule="exact"/>
        <w:ind w:left="1080"/>
        <w:jc w:val="center"/>
        <w:rPr>
          <w:rFonts w:ascii="宋体" w:hAnsi="宋体"/>
          <w:b/>
          <w:sz w:val="32"/>
          <w:szCs w:val="32"/>
        </w:rPr>
      </w:pPr>
      <w:r>
        <w:rPr>
          <w:rFonts w:ascii="宋体" w:hAnsi="宋体"/>
          <w:b/>
          <w:sz w:val="28"/>
          <w:szCs w:val="32"/>
        </w:rPr>
        <w:br w:type="page"/>
      </w: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27"/>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rPr>
              <w:t>广西壮族自治区信息中心项目造价第三方评估服务。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rPr>
                <w:sz w:val="24"/>
              </w:rPr>
            </w:pPr>
            <w:r>
              <w:rPr>
                <w:rFonts w:hint="eastAsia"/>
                <w:sz w:val="24"/>
              </w:rPr>
              <w:t>报价人资格及要求：</w:t>
            </w:r>
          </w:p>
          <w:p>
            <w:pPr>
              <w:spacing w:line="400" w:lineRule="exact"/>
              <w:jc w:val="left"/>
              <w:rPr>
                <w:sz w:val="24"/>
              </w:rPr>
            </w:pPr>
            <w:r>
              <w:rPr>
                <w:rFonts w:hint="eastAsia"/>
                <w:sz w:val="24"/>
              </w:rPr>
              <w:t>1.符合《中华人民共和国政府采购法》第二十二条规定的供应商资格条件。</w:t>
            </w:r>
          </w:p>
          <w:p>
            <w:pPr>
              <w:spacing w:line="400" w:lineRule="exact"/>
              <w:jc w:val="left"/>
              <w:rPr>
                <w:sz w:val="24"/>
              </w:rPr>
            </w:pPr>
            <w:r>
              <w:rPr>
                <w:rFonts w:hint="eastAsia"/>
                <w:sz w:val="24"/>
              </w:rPr>
              <w:t>2.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rPr>
            </w:pPr>
            <w:r>
              <w:rPr>
                <w:rFonts w:hint="eastAsia"/>
                <w:sz w:val="24"/>
              </w:rPr>
              <w:t xml:space="preserve">3.本项目不接受联合体报价。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1.报价人必须就《服务需求》中的所有内容作完整唯一报价，否则报价将被拒绝。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w:t>
            </w:r>
            <w:r>
              <w:rPr>
                <w:rFonts w:hint="eastAsia" w:ascii="宋体" w:hAnsi="宋体" w:cs="宋体"/>
                <w:bCs/>
                <w:sz w:val="24"/>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：正本一份  副本二份。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rPr>
            </w:pPr>
            <w:r>
              <w:rPr>
                <w:rFonts w:hint="eastAsia" w:ascii="宋体" w:hAnsi="宋体" w:cs="宋体"/>
                <w:b/>
                <w:bCs/>
                <w:sz w:val="24"/>
              </w:rPr>
              <w:t>响应文件递交截止时间：</w:t>
            </w:r>
            <w:r>
              <w:rPr>
                <w:rFonts w:hint="eastAsia" w:ascii="宋体" w:hAnsi="宋体"/>
                <w:sz w:val="24"/>
                <w:highlight w:val="yellow"/>
              </w:rPr>
              <w:t>2023年</w:t>
            </w:r>
            <w:r>
              <w:rPr>
                <w:rFonts w:hint="eastAsia" w:ascii="宋体" w:hAnsi="宋体"/>
                <w:sz w:val="24"/>
                <w:highlight w:val="yellow"/>
                <w:lang w:val="en-US" w:eastAsia="zh-CN"/>
              </w:rPr>
              <w:t>6</w:t>
            </w:r>
            <w:r>
              <w:rPr>
                <w:rFonts w:hint="eastAsia" w:ascii="宋体" w:hAnsi="宋体"/>
                <w:sz w:val="24"/>
                <w:highlight w:val="yellow"/>
              </w:rPr>
              <w:t>月</w:t>
            </w:r>
            <w:r>
              <w:rPr>
                <w:rFonts w:hint="eastAsia" w:ascii="宋体" w:hAnsi="宋体"/>
                <w:sz w:val="24"/>
                <w:highlight w:val="yellow"/>
                <w:lang w:val="en-US" w:eastAsia="zh-CN"/>
              </w:rPr>
              <w:t>19</w:t>
            </w:r>
            <w:r>
              <w:rPr>
                <w:rFonts w:hint="eastAsia" w:ascii="宋体" w:hAnsi="宋体"/>
                <w:sz w:val="24"/>
                <w:highlight w:val="yellow"/>
              </w:rPr>
              <w:t>日18时00分</w:t>
            </w:r>
            <w:r>
              <w:rPr>
                <w:rFonts w:hint="eastAsia" w:ascii="宋体" w:hAnsi="宋体" w:cs="宋体"/>
                <w:sz w:val="24"/>
              </w:rPr>
              <w:t>。</w:t>
            </w:r>
          </w:p>
          <w:p>
            <w:pPr>
              <w:spacing w:line="360" w:lineRule="exact"/>
              <w:rPr>
                <w:rFonts w:ascii="宋体" w:hAnsi="宋体" w:cs="宋体"/>
                <w:sz w:val="24"/>
              </w:rPr>
            </w:pPr>
            <w:r>
              <w:rPr>
                <w:rFonts w:hint="eastAsia" w:ascii="宋体" w:hAnsi="宋体" w:cs="宋体"/>
                <w:sz w:val="24"/>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rPr>
            </w:pPr>
            <w:r>
              <w:rPr>
                <w:rFonts w:hint="eastAsia" w:ascii="宋体" w:hAnsi="宋体" w:cs="宋体"/>
                <w:b/>
                <w:sz w:val="24"/>
              </w:rPr>
              <w:t>评标方法：</w:t>
            </w:r>
            <w:r>
              <w:rPr>
                <w:rFonts w:hint="eastAsia" w:ascii="宋体" w:hAnsi="宋体" w:cs="宋体"/>
                <w:sz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rPr>
            </w:pPr>
            <w:r>
              <w:rPr>
                <w:rFonts w:hint="eastAsia" w:ascii="宋体" w:hAnsi="宋体" w:cs="宋体"/>
                <w:b/>
                <w:bCs/>
                <w:sz w:val="24"/>
              </w:rPr>
              <w:t>本项目采购预算价为：</w:t>
            </w:r>
            <w:r>
              <w:rPr>
                <w:rFonts w:hint="eastAsia" w:ascii="宋体" w:hAnsi="宋体"/>
              </w:rPr>
              <w:t>贰拾</w:t>
            </w:r>
            <w:r>
              <w:rPr>
                <w:rFonts w:hint="eastAsia" w:ascii="宋体" w:hAnsi="宋体"/>
                <w:bCs/>
                <w:sz w:val="24"/>
              </w:rPr>
              <w:t>万元整（￥200000.00）</w:t>
            </w:r>
            <w:r>
              <w:rPr>
                <w:rFonts w:hint="eastAsia" w:ascii="宋体" w:hAnsi="宋体" w:cs="宋体"/>
                <w:b/>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48" w:beforeLines="20" w:after="48" w:afterLines="20" w:line="400" w:lineRule="exact"/>
        <w:jc w:val="center"/>
        <w:rPr>
          <w:rFonts w:ascii="宋体" w:hAnsi="宋体"/>
          <w:b/>
          <w:sz w:val="32"/>
          <w:szCs w:val="32"/>
        </w:rPr>
      </w:pPr>
      <w:r>
        <w:rPr>
          <w:rFonts w:hint="eastAsia" w:ascii="宋体" w:hAnsi="宋体"/>
          <w:b/>
          <w:sz w:val="28"/>
          <w:szCs w:val="32"/>
        </w:rPr>
        <w:t>报价人须知</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一、总　则</w:t>
      </w:r>
    </w:p>
    <w:p>
      <w:pPr>
        <w:spacing w:line="400" w:lineRule="exact"/>
        <w:ind w:firstLine="480" w:firstLineChars="200"/>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w:t>
      </w:r>
      <w:r>
        <w:rPr>
          <w:rFonts w:hint="eastAsia" w:ascii="宋体" w:hAnsi="宋体"/>
          <w:bCs/>
          <w:sz w:val="24"/>
        </w:rPr>
        <w:t>广西壮族自治区信息中心项目造价第三方评估服务</w:t>
      </w:r>
      <w:r>
        <w:rPr>
          <w:rFonts w:hint="eastAsia" w:ascii="宋体" w:hAnsi="宋体" w:cs="宋体"/>
          <w:sz w:val="24"/>
        </w:rPr>
        <w:t>”项目采购。</w:t>
      </w:r>
    </w:p>
    <w:p>
      <w:pPr>
        <w:spacing w:line="400" w:lineRule="exact"/>
        <w:ind w:firstLine="480" w:firstLineChars="200"/>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 。</w:t>
      </w:r>
    </w:p>
    <w:p>
      <w:pPr>
        <w:spacing w:line="400" w:lineRule="exact"/>
        <w:ind w:firstLine="480" w:firstLineChars="200"/>
        <w:rPr>
          <w:rFonts w:ascii="宋体" w:hAnsi="宋体" w:cs="宋体"/>
          <w:sz w:val="24"/>
        </w:rPr>
      </w:pPr>
      <w:r>
        <w:rPr>
          <w:rFonts w:hint="eastAsia" w:ascii="宋体" w:hAnsi="宋体" w:cs="宋体"/>
          <w:sz w:val="24"/>
        </w:rPr>
        <w:t>2.2“报价人”系指符合本次采购项目的提交响应文件的、参与报价的单位或自然人。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jc w:val="left"/>
        <w:rPr>
          <w:rFonts w:ascii="宋体" w:hAnsi="宋体"/>
          <w:bCs/>
          <w:sz w:val="24"/>
        </w:rPr>
      </w:pPr>
      <w:r>
        <w:rPr>
          <w:rFonts w:hint="eastAsia" w:ascii="宋体" w:hAnsi="宋体" w:cs="宋体"/>
          <w:kern w:val="0"/>
          <w:sz w:val="24"/>
        </w:rPr>
        <w:t>（1）符合《中华人民共和国政府采购法》第二十二条规定的供应商资格条件。</w:t>
      </w:r>
      <w:r>
        <w:rPr>
          <w:rFonts w:hint="eastAsia" w:ascii="宋体" w:hAnsi="宋体"/>
          <w:bCs/>
          <w:sz w:val="24"/>
        </w:rPr>
        <w:t>。</w:t>
      </w:r>
    </w:p>
    <w:p>
      <w:pPr>
        <w:spacing w:line="400" w:lineRule="exact"/>
        <w:ind w:firstLine="480" w:firstLineChars="200"/>
        <w:rPr>
          <w:rFonts w:ascii="宋体" w:hAnsi="宋体" w:cs="宋体"/>
          <w:kern w:val="0"/>
          <w:sz w:val="24"/>
        </w:rPr>
      </w:pPr>
      <w:r>
        <w:rPr>
          <w:rFonts w:hint="eastAsia" w:ascii="宋体" w:hAnsi="宋体" w:cs="宋体"/>
          <w:kern w:val="0"/>
          <w:sz w:val="24"/>
        </w:rPr>
        <w:t>（2）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pPr>
      <w:r>
        <w:rPr>
          <w:rFonts w:hint="eastAsia" w:ascii="宋体" w:hAnsi="宋体" w:cs="宋体"/>
          <w:kern w:val="0"/>
          <w:sz w:val="24"/>
        </w:rPr>
        <w:t xml:space="preserve">（3）本项目不接受联合体报价。   </w:t>
      </w:r>
    </w:p>
    <w:p>
      <w:pPr>
        <w:spacing w:line="400" w:lineRule="exact"/>
        <w:ind w:firstLine="480" w:firstLineChars="200"/>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6.2本项目不可以分包。</w:t>
      </w:r>
    </w:p>
    <w:p>
      <w:pPr>
        <w:pStyle w:val="15"/>
        <w:numPr>
          <w:ilvl w:val="255"/>
          <w:numId w:val="0"/>
        </w:numPr>
        <w:snapToGrid w:val="0"/>
        <w:spacing w:line="400" w:lineRule="exact"/>
        <w:ind w:firstLine="482" w:firstLineChars="200"/>
        <w:outlineLvl w:val="1"/>
        <w:rPr>
          <w:rFonts w:hAnsi="宋体" w:cs="宋体"/>
          <w:b/>
          <w:sz w:val="24"/>
        </w:rPr>
      </w:pPr>
      <w:bookmarkStart w:id="0" w:name="_Toc254970532"/>
      <w:bookmarkStart w:id="1" w:name="_Toc254970673"/>
      <w:r>
        <w:rPr>
          <w:rFonts w:hint="eastAsia" w:hAnsi="宋体" w:cs="宋体"/>
          <w:b/>
          <w:sz w:val="24"/>
        </w:rPr>
        <w:t xml:space="preserve">7.特别说明 </w:t>
      </w:r>
    </w:p>
    <w:bookmarkEnd w:id="0"/>
    <w:bookmarkEnd w:id="1"/>
    <w:p>
      <w:pPr>
        <w:pStyle w:val="15"/>
        <w:snapToGrid w:val="0"/>
        <w:spacing w:line="400" w:lineRule="exact"/>
        <w:ind w:firstLine="480" w:firstLineChars="200"/>
        <w:outlineLvl w:val="1"/>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w:t>
      </w:r>
      <w:r>
        <w:rPr>
          <w:rFonts w:hint="eastAsia" w:hAnsi="宋体" w:cs="宋体"/>
          <w:sz w:val="24"/>
          <w:szCs w:val="24"/>
          <w:lang w:val="en-US" w:eastAsia="zh-CN"/>
        </w:rPr>
        <w:t>采购法</w:t>
      </w:r>
      <w:r>
        <w:rPr>
          <w:rFonts w:hint="eastAsia" w:hAnsi="宋体" w:cs="宋体"/>
          <w:sz w:val="24"/>
          <w:szCs w:val="24"/>
        </w:rPr>
        <w:t>》</w:t>
      </w:r>
      <w:r>
        <w:rPr>
          <w:rFonts w:hint="eastAsia" w:hAnsi="宋体" w:cs="宋体"/>
          <w:sz w:val="24"/>
          <w:szCs w:val="24"/>
          <w:lang w:eastAsia="zh-CN"/>
        </w:rPr>
        <w:t>承担相关法律责任</w:t>
      </w:r>
      <w:r>
        <w:rPr>
          <w:rFonts w:hint="eastAsia" w:hAnsi="宋体" w:cs="宋体"/>
          <w:sz w:val="24"/>
          <w:szCs w:val="24"/>
        </w:rPr>
        <w:t>。</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二、采购文件</w:t>
      </w:r>
    </w:p>
    <w:p>
      <w:pPr>
        <w:pStyle w:val="15"/>
        <w:snapToGrid w:val="0"/>
        <w:spacing w:line="400" w:lineRule="exact"/>
        <w:ind w:firstLine="482" w:firstLineChars="200"/>
        <w:rPr>
          <w:rFonts w:hAnsi="宋体" w:cs="宋体"/>
          <w:b/>
          <w:sz w:val="24"/>
          <w:szCs w:val="24"/>
        </w:rPr>
      </w:pPr>
      <w:r>
        <w:rPr>
          <w:rFonts w:hint="eastAsia" w:hAnsi="宋体" w:cs="宋体"/>
          <w:b/>
          <w:sz w:val="24"/>
          <w:szCs w:val="24"/>
        </w:rPr>
        <w:t>8.采购文件构成</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5"/>
        <w:spacing w:line="400" w:lineRule="exact"/>
        <w:ind w:firstLine="472" w:firstLineChars="196"/>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w:t>
      </w:r>
      <w:r>
        <w:rPr>
          <w:rFonts w:hint="eastAsia" w:hAnsi="宋体" w:cs="宋体"/>
          <w:sz w:val="24"/>
          <w:szCs w:val="24"/>
          <w:lang w:val="en-US" w:eastAsia="zh-CN"/>
        </w:rPr>
        <w:t>1个工作日</w:t>
      </w:r>
      <w:r>
        <w:rPr>
          <w:rFonts w:hint="eastAsia" w:hAnsi="宋体" w:cs="宋体"/>
          <w:sz w:val="24"/>
          <w:szCs w:val="24"/>
        </w:rPr>
        <w:t>的正常工作时间内以书面形式通知采购人，同时认定其他澄清方式为无效。采购人将予以正式答复。逾期不提出澄清要求视为对采购文件无异议。</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w:t>
      </w:r>
      <w:r>
        <w:rPr>
          <w:rFonts w:hint="eastAsia" w:hAnsi="宋体" w:cs="宋体"/>
          <w:sz w:val="24"/>
          <w:szCs w:val="24"/>
          <w:lang w:val="en-US" w:eastAsia="zh-CN"/>
        </w:rPr>
        <w:t>3个工作日前</w:t>
      </w:r>
      <w:r>
        <w:rPr>
          <w:rFonts w:hint="eastAsia" w:hAnsi="宋体" w:cs="宋体"/>
          <w:sz w:val="24"/>
          <w:szCs w:val="24"/>
        </w:rPr>
        <w:t>在原采购公告发布地址发布变更公告。该澄清或修改的内容为采购文件的组成部分，报价人自行查阅，采购人不进行电话或书面通知。</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报价人自行上网查看公告，但不说明问题的来源。该澄清或修改的内容为采购文件的组成部分。质疑答复公告或变更公告成功发布后将视为报价人收到答疑或补充通知，不需回复确认函。</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5"/>
        <w:snapToGrid w:val="0"/>
        <w:spacing w:before="48" w:beforeLines="20" w:after="48" w:afterLines="20" w:line="400" w:lineRule="exact"/>
        <w:ind w:firstLine="482" w:firstLineChars="200"/>
        <w:jc w:val="center"/>
        <w:rPr>
          <w:rFonts w:hAnsi="宋体" w:cs="宋体"/>
          <w:b/>
          <w:sz w:val="24"/>
          <w:szCs w:val="24"/>
        </w:rPr>
      </w:pPr>
      <w:r>
        <w:rPr>
          <w:rFonts w:hint="eastAsia" w:hAnsi="宋体" w:cs="宋体"/>
          <w:b/>
          <w:sz w:val="24"/>
          <w:szCs w:val="24"/>
        </w:rPr>
        <w:t>三、响应文件</w:t>
      </w:r>
    </w:p>
    <w:p>
      <w:pPr>
        <w:spacing w:line="400" w:lineRule="exact"/>
        <w:ind w:firstLine="482" w:firstLineChars="200"/>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color w:val="000000"/>
          <w:sz w:val="24"/>
        </w:rPr>
      </w:pPr>
      <w:r>
        <w:rPr>
          <w:rFonts w:hint="eastAsia" w:ascii="宋体" w:hAnsi="宋体" w:cs="宋体"/>
          <w:sz w:val="24"/>
        </w:rPr>
        <w:t>商务部分是证明报价人有资格参加报价和成交后有能力履行服务的文件，这些文件应能</w:t>
      </w:r>
      <w:r>
        <w:rPr>
          <w:rFonts w:hint="eastAsia" w:ascii="宋体" w:hAnsi="宋体" w:cs="宋体"/>
          <w:color w:val="000000"/>
          <w:sz w:val="24"/>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rPr>
      </w:pPr>
      <w:r>
        <w:rPr>
          <w:rFonts w:hint="eastAsia" w:ascii="宋体" w:hAnsi="宋体" w:cs="宋体"/>
          <w:color w:val="000000"/>
          <w:sz w:val="24"/>
        </w:rPr>
        <w:t>▲（1）报价声明书（格式见第五章）；</w:t>
      </w:r>
    </w:p>
    <w:p>
      <w:pPr>
        <w:spacing w:line="400" w:lineRule="exact"/>
        <w:ind w:firstLine="480" w:firstLineChars="200"/>
        <w:rPr>
          <w:rFonts w:ascii="宋体" w:hAnsi="宋体" w:cs="宋体"/>
          <w:color w:val="000000"/>
          <w:sz w:val="24"/>
        </w:rPr>
      </w:pPr>
      <w:r>
        <w:rPr>
          <w:rFonts w:hint="eastAsia" w:ascii="宋体" w:hAnsi="宋体" w:cs="宋体"/>
          <w:color w:val="000000"/>
          <w:sz w:val="24"/>
        </w:rPr>
        <w:t>▲（2）有效的营业执照副本复印件加盖单位公章（对于有经营资质要求的，报价人必须提供有效的经营资质证书内页复印件；如报价人提供其他服务机构的服务时，还须提供其他服务机构的有效授权书原件）；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color w:val="000000"/>
          <w:sz w:val="24"/>
        </w:rPr>
        <w:t>▲（3）有效的法定代表人（负责人）身份证正反面复印件加盖单位公章（如法定代表人（负责人）非中国国籍应提交护照复印件，要求证件有效并与营业执照中的法定代</w:t>
      </w:r>
      <w:r>
        <w:rPr>
          <w:rFonts w:hint="eastAsia" w:ascii="宋体" w:hAnsi="宋体" w:cs="宋体"/>
          <w:sz w:val="24"/>
        </w:rPr>
        <w:t>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w:t>
      </w:r>
      <w:r>
        <w:rPr>
          <w:rFonts w:hint="eastAsia" w:ascii="宋体" w:hAnsi="宋体" w:cs="宋体"/>
          <w:color w:val="000000"/>
          <w:sz w:val="24"/>
        </w:rPr>
        <w:t>加盖单位公章</w:t>
      </w:r>
      <w:r>
        <w:rPr>
          <w:rFonts w:hint="eastAsia" w:ascii="宋体" w:hAnsi="宋体" w:cs="宋体"/>
          <w:sz w:val="24"/>
        </w:rPr>
        <w:t>（委托代理时提供，如委托代理人非中国国籍应提交护照复印件，要求证件有效并与法定代表人（负责人）授权委托书中的授权人相符，格式自拟）；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▲（6）响应文件递交截止之日前半年内报价人任意连续3个月的有效依法缴纳税费或依法免缴税费的证明（无纳税记录的，应提供由报价人所在地主管</w:t>
      </w:r>
      <w:r>
        <w:rPr>
          <w:rFonts w:hint="eastAsia" w:ascii="宋体" w:hAnsi="宋体" w:cs="宋体"/>
          <w:sz w:val="24"/>
          <w:lang w:eastAsia="zh-CN"/>
        </w:rPr>
        <w:t>税务部门</w:t>
      </w:r>
      <w:r>
        <w:rPr>
          <w:rFonts w:hint="eastAsia" w:ascii="宋体" w:hAnsi="宋体" w:cs="宋体"/>
          <w:sz w:val="24"/>
        </w:rPr>
        <w:t xml:space="preserve">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w:t>
      </w:r>
      <w:r>
        <w:rPr>
          <w:rFonts w:hint="eastAsia" w:ascii="宋体" w:hAnsi="宋体" w:cs="宋体"/>
          <w:sz w:val="24"/>
          <w:lang w:val="en-US" w:eastAsia="zh-CN"/>
        </w:rPr>
        <w:t>1</w:t>
      </w:r>
      <w:r>
        <w:rPr>
          <w:rFonts w:hint="eastAsia" w:ascii="宋体" w:hAnsi="宋体" w:cs="宋体"/>
          <w:sz w:val="24"/>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ascii="宋体" w:hAnsi="宋体" w:cs="宋体"/>
          <w:sz w:val="24"/>
        </w:rPr>
      </w:pPr>
      <w:r>
        <w:rPr>
          <w:rFonts w:hint="eastAsia" w:ascii="宋体" w:hAnsi="宋体" w:cs="宋体"/>
          <w:sz w:val="24"/>
        </w:rPr>
        <w:t>▲（12）服务承诺书（格式自拟，加盖单位公章）；</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（13）报价人的类似成功案例的业绩证明文件（报价人同类项目实施情况一览表、中标/成交通知书复印件或有效合同复印件并加盖单位公章，格式可自拟）；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▲（2）服务方案（格式自拟）；</w:t>
      </w:r>
    </w:p>
    <w:p>
      <w:pPr>
        <w:spacing w:line="400" w:lineRule="exact"/>
        <w:ind w:firstLine="480" w:firstLineChars="200"/>
        <w:rPr>
          <w:rFonts w:ascii="宋体" w:hAnsi="宋体" w:cs="宋体"/>
          <w:sz w:val="24"/>
        </w:rPr>
      </w:pPr>
      <w:r>
        <w:rPr>
          <w:rFonts w:hint="eastAsia" w:ascii="宋体" w:hAnsi="宋体" w:cs="宋体"/>
          <w:sz w:val="24"/>
        </w:rPr>
        <w:t>▲（3）项目实施人员一览表（格式见第五章）；</w:t>
      </w:r>
    </w:p>
    <w:p>
      <w:pPr>
        <w:spacing w:line="400" w:lineRule="exact"/>
        <w:ind w:firstLine="480" w:firstLineChars="200"/>
        <w:rPr>
          <w:rFonts w:ascii="宋体" w:hAnsi="宋体" w:cs="宋体"/>
          <w:sz w:val="24"/>
        </w:rPr>
      </w:pPr>
      <w:r>
        <w:rPr>
          <w:rFonts w:hint="eastAsia" w:ascii="宋体" w:hAnsi="宋体" w:cs="宋体"/>
          <w:sz w:val="24"/>
        </w:rPr>
        <w:t>（4）报价人认为需要提供的其他证明材料（格式自拟）；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38"/>
        <w:spacing w:line="400" w:lineRule="exact"/>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四、响应文件的递交</w:t>
      </w:r>
    </w:p>
    <w:p>
      <w:pPr>
        <w:spacing w:line="400" w:lineRule="exact"/>
        <w:ind w:firstLine="482" w:firstLineChars="200"/>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2" w:firstLineChars="200"/>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五、项目评审</w:t>
      </w:r>
    </w:p>
    <w:p>
      <w:pPr>
        <w:spacing w:line="400" w:lineRule="exact"/>
        <w:ind w:firstLine="482" w:firstLineChars="200"/>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6.3在报价评审时，如发现下列情形之一的，响应文件将被视为无效：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六、其他事项</w:t>
      </w:r>
    </w:p>
    <w:p>
      <w:pPr>
        <w:pStyle w:val="15"/>
        <w:spacing w:line="400" w:lineRule="exact"/>
        <w:ind w:firstLine="420"/>
        <w:rPr>
          <w:rFonts w:hAnsi="宋体" w:cs="宋体"/>
          <w:b/>
          <w:sz w:val="24"/>
          <w:szCs w:val="24"/>
        </w:rPr>
      </w:pPr>
      <w:r>
        <w:rPr>
          <w:rFonts w:hAnsi="宋体" w:cs="宋体"/>
          <w:b/>
          <w:sz w:val="24"/>
          <w:szCs w:val="24"/>
        </w:rPr>
        <w:t>1</w:t>
      </w:r>
      <w:r>
        <w:rPr>
          <w:rFonts w:hint="eastAsia" w:hAnsi="宋体" w:cs="宋体"/>
          <w:b/>
          <w:sz w:val="24"/>
          <w:szCs w:val="24"/>
        </w:rPr>
        <w:t>7.适用法律</w:t>
      </w:r>
    </w:p>
    <w:p>
      <w:pPr>
        <w:pStyle w:val="15"/>
        <w:spacing w:line="400" w:lineRule="exact"/>
        <w:ind w:firstLine="420"/>
        <w:rPr>
          <w:rFonts w:hAnsi="宋体" w:cs="宋体"/>
          <w:sz w:val="24"/>
          <w:szCs w:val="24"/>
        </w:rPr>
      </w:pPr>
      <w:r>
        <w:rPr>
          <w:rFonts w:hAnsi="宋体" w:cs="宋体"/>
          <w:b/>
          <w:sz w:val="24"/>
          <w:szCs w:val="24"/>
        </w:rPr>
        <w:t>1</w:t>
      </w:r>
      <w:r>
        <w:rPr>
          <w:rFonts w:hint="eastAsia" w:hAnsi="宋体" w:cs="宋体"/>
          <w:b/>
          <w:sz w:val="24"/>
          <w:szCs w:val="24"/>
        </w:rPr>
        <w:t>7.1</w:t>
      </w:r>
      <w:r>
        <w:rPr>
          <w:rFonts w:hint="eastAsia" w:hAnsi="宋体" w:cs="宋体"/>
          <w:sz w:val="24"/>
          <w:szCs w:val="24"/>
        </w:rPr>
        <w:t>采购当事人的一切活动均适用于《中华人民共和国政府采购法》及相关规定。</w:t>
      </w:r>
    </w:p>
    <w:p>
      <w:pPr>
        <w:pStyle w:val="15"/>
        <w:snapToGrid w:val="0"/>
        <w:spacing w:line="400" w:lineRule="exact"/>
        <w:ind w:firstLine="562" w:firstLineChars="200"/>
        <w:jc w:val="center"/>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5"/>
        <w:spacing w:line="400" w:lineRule="exact"/>
        <w:ind w:firstLine="420"/>
        <w:rPr>
          <w:rFonts w:hAnsi="宋体" w:cs="宋体"/>
          <w:sz w:val="24"/>
          <w:szCs w:val="24"/>
        </w:rPr>
      </w:pPr>
      <w:r>
        <w:rPr>
          <w:rFonts w:hAnsi="宋体" w:cs="宋体"/>
          <w:sz w:val="24"/>
          <w:szCs w:val="24"/>
        </w:rPr>
        <w:t>一、说明：</w:t>
      </w:r>
    </w:p>
    <w:p>
      <w:pPr>
        <w:pStyle w:val="15"/>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5"/>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5"/>
        <w:spacing w:line="400" w:lineRule="exact"/>
        <w:ind w:firstLine="420"/>
        <w:rPr>
          <w:rFonts w:hAnsi="宋体" w:cs="宋体"/>
          <w:sz w:val="24"/>
          <w:szCs w:val="24"/>
        </w:rPr>
      </w:pPr>
      <w:r>
        <w:rPr>
          <w:rFonts w:hAnsi="宋体" w:cs="宋体"/>
          <w:sz w:val="24"/>
          <w:szCs w:val="24"/>
        </w:rPr>
        <w:t>二、采购内容：</w:t>
      </w:r>
    </w:p>
    <w:tbl>
      <w:tblPr>
        <w:tblStyle w:val="27"/>
        <w:tblW w:w="10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947"/>
        <w:gridCol w:w="599"/>
        <w:gridCol w:w="635"/>
        <w:gridCol w:w="631"/>
        <w:gridCol w:w="7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44" w:type="dxa"/>
            <w:gridSpan w:val="6"/>
            <w:vAlign w:val="center"/>
          </w:tcPr>
          <w:p>
            <w:pPr>
              <w:spacing w:line="400" w:lineRule="exact"/>
              <w:textAlignment w:val="baseline"/>
              <w:rPr>
                <w:rFonts w:ascii="宋体" w:hAnsi="宋体" w:cs="宋体"/>
                <w:b/>
                <w:sz w:val="24"/>
              </w:rPr>
            </w:pPr>
            <w:r>
              <w:rPr>
                <w:rFonts w:hint="eastAsia" w:ascii="宋体" w:hAnsi="宋体" w:cs="宋体"/>
                <w:b/>
                <w:sz w:val="24"/>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vAlign w:val="center"/>
          </w:tcPr>
          <w:p>
            <w:pPr>
              <w:spacing w:line="400" w:lineRule="exact"/>
              <w:jc w:val="center"/>
              <w:textAlignment w:val="baseline"/>
              <w:rPr>
                <w:rFonts w:ascii="宋体" w:hAnsi="宋体" w:cs="宋体"/>
                <w:sz w:val="24"/>
              </w:rPr>
            </w:pPr>
            <w:r>
              <w:rPr>
                <w:rFonts w:hint="eastAsia" w:ascii="宋体" w:hAnsi="宋体" w:cs="宋体"/>
                <w:sz w:val="24"/>
              </w:rPr>
              <w:t>项号</w:t>
            </w:r>
          </w:p>
        </w:tc>
        <w:tc>
          <w:tcPr>
            <w:tcW w:w="1546" w:type="dxa"/>
            <w:gridSpan w:val="2"/>
            <w:vAlign w:val="center"/>
          </w:tcPr>
          <w:p>
            <w:pPr>
              <w:spacing w:line="400" w:lineRule="exact"/>
              <w:jc w:val="center"/>
              <w:textAlignment w:val="baseline"/>
              <w:rPr>
                <w:rFonts w:ascii="宋体" w:hAnsi="宋体" w:cs="宋体"/>
                <w:sz w:val="24"/>
              </w:rPr>
            </w:pPr>
            <w:r>
              <w:rPr>
                <w:rFonts w:hint="eastAsia" w:ascii="宋体" w:hAnsi="宋体" w:cs="宋体"/>
                <w:sz w:val="24"/>
              </w:rPr>
              <w:t>项目名称</w:t>
            </w:r>
          </w:p>
        </w:tc>
        <w:tc>
          <w:tcPr>
            <w:tcW w:w="635" w:type="dxa"/>
            <w:vAlign w:val="center"/>
          </w:tcPr>
          <w:p>
            <w:pPr>
              <w:spacing w:line="400" w:lineRule="exact"/>
              <w:jc w:val="center"/>
              <w:textAlignment w:val="baseline"/>
              <w:rPr>
                <w:rFonts w:ascii="宋体" w:hAnsi="宋体" w:cs="宋体"/>
                <w:sz w:val="24"/>
              </w:rPr>
            </w:pPr>
            <w:r>
              <w:rPr>
                <w:rFonts w:hint="eastAsia" w:ascii="宋体" w:hAnsi="宋体" w:cs="宋体"/>
                <w:sz w:val="24"/>
              </w:rPr>
              <w:t>数量</w:t>
            </w:r>
          </w:p>
        </w:tc>
        <w:tc>
          <w:tcPr>
            <w:tcW w:w="631" w:type="dxa"/>
            <w:vAlign w:val="center"/>
          </w:tcPr>
          <w:p>
            <w:pPr>
              <w:spacing w:line="400" w:lineRule="exact"/>
              <w:jc w:val="center"/>
              <w:textAlignment w:val="baseline"/>
              <w:rPr>
                <w:rFonts w:ascii="宋体" w:hAnsi="宋体" w:cs="宋体"/>
                <w:sz w:val="24"/>
              </w:rPr>
            </w:pPr>
            <w:r>
              <w:rPr>
                <w:rFonts w:hint="eastAsia" w:ascii="宋体" w:hAnsi="宋体" w:cs="宋体"/>
                <w:sz w:val="24"/>
              </w:rPr>
              <w:t>单位</w:t>
            </w:r>
          </w:p>
        </w:tc>
        <w:tc>
          <w:tcPr>
            <w:tcW w:w="7242" w:type="dxa"/>
            <w:vAlign w:val="center"/>
          </w:tcPr>
          <w:p>
            <w:pPr>
              <w:spacing w:line="400" w:lineRule="exact"/>
              <w:jc w:val="center"/>
              <w:textAlignment w:val="baseline"/>
              <w:rPr>
                <w:rFonts w:ascii="宋体" w:hAnsi="宋体" w:cs="宋体"/>
                <w:sz w:val="24"/>
              </w:rPr>
            </w:pPr>
            <w:r>
              <w:rPr>
                <w:rFonts w:hint="eastAsia" w:ascii="宋体" w:hAnsi="宋体" w:cs="宋体"/>
                <w:sz w:val="24"/>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vAlign w:val="center"/>
          </w:tcPr>
          <w:p>
            <w:pPr>
              <w:spacing w:line="400" w:lineRule="exact"/>
              <w:jc w:val="center"/>
              <w:textAlignment w:val="baseline"/>
              <w:rPr>
                <w:rFonts w:ascii="宋体" w:hAnsi="宋体" w:cs="宋体"/>
                <w:color w:val="000000"/>
                <w:sz w:val="24"/>
                <w:highlight w:val="none"/>
              </w:rPr>
            </w:pPr>
            <w:r>
              <w:rPr>
                <w:rFonts w:hint="eastAsia" w:ascii="宋体" w:hAnsi="宋体" w:cs="宋体"/>
                <w:color w:val="000000"/>
                <w:sz w:val="24"/>
                <w:highlight w:val="none"/>
              </w:rPr>
              <w:t>1</w:t>
            </w:r>
          </w:p>
        </w:tc>
        <w:tc>
          <w:tcPr>
            <w:tcW w:w="1546" w:type="dxa"/>
            <w:gridSpan w:val="2"/>
            <w:vAlign w:val="center"/>
          </w:tcPr>
          <w:p>
            <w:pPr>
              <w:spacing w:line="400" w:lineRule="exact"/>
              <w:jc w:val="left"/>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广西壮族自治区信息中心项目造价第三方评估服务</w:t>
            </w:r>
          </w:p>
        </w:tc>
        <w:tc>
          <w:tcPr>
            <w:tcW w:w="635" w:type="dxa"/>
            <w:vAlign w:val="center"/>
          </w:tcPr>
          <w:p>
            <w:pPr>
              <w:spacing w:line="400" w:lineRule="exact"/>
              <w:jc w:val="center"/>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631" w:type="dxa"/>
            <w:vAlign w:val="center"/>
          </w:tcPr>
          <w:p>
            <w:pPr>
              <w:spacing w:line="400" w:lineRule="exact"/>
              <w:jc w:val="center"/>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项</w:t>
            </w:r>
          </w:p>
        </w:tc>
        <w:tc>
          <w:tcPr>
            <w:tcW w:w="7242" w:type="dxa"/>
            <w:vAlign w:val="center"/>
          </w:tcPr>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一、项目背景：为进一步规范中心项目全过程管理，提高项目资金使用效益，聘请第三方机构对项目造价进行评估。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二、服务内容及要求：</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（一）总体要求</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对费用标准为30万元以上、未纳入财政投资评审的项目进行概（预）算评估。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（二）依据标准</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1.《电子建设工程概(预)算编制办法及计价依据》（HYD41-2015）。</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2.《电子建设工程预算定额》（HYD41-2015）。</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3.信息工程协会造价指导书。</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4.《广西建设工程造价咨询服务行业收费参考标准》。</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5.其他工程计价、计量规范法律法规和政策文件等。</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（三）评估方法</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主要包括：</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1.通过向相应设备厂家、产品渠道供应商、相应计算机信息系统资质等企业和获得计算机双软认定的软件开发商询价。</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2.利用价格信息库，通过参数比对保证不同项目价格的一致性。</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（四）评估内容</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评估内容包括但不限于技术方案评估、工程量清单评估和软件功能点数量评估。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1.技术方案评估：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（1）评估技术方案是否完整详细地说明了系统的功能需求,并且提供详尽的分项明细。</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（2）评估技术方案是否有过分追求高配置,忽略项目的实际需求而造成的资源浪费。</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（3）检查技术方案自身内容或相互之间前后是否矛盾，如购置的设备清单数量与设计图纸是否吻合等。</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2.工程量清单评估：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（1）设备清单是否存在已停产的型号。</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（2）清单里的设备必须提供详细的参数及参考型号。</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（3）套用《电子建设工程预算定额》（HYD41-2015）对清单的设备进行评估。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3.软件功能点数量评估：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（1）评估软件开发功能点的数量是否准确合理。</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（2）套用信息工程协会对软件开发费用估算的办法对软件开发项目进行估算评审。</w:t>
            </w:r>
          </w:p>
          <w:p>
            <w:pPr>
              <w:pStyle w:val="76"/>
              <w:spacing w:line="400" w:lineRule="exact"/>
              <w:ind w:firstLine="0" w:firstLineChars="0"/>
              <w:textAlignment w:val="baseline"/>
              <w:rPr>
                <w:rFonts w:hAnsi="宋体" w:cs="宋体"/>
                <w:sz w:val="24"/>
                <w:szCs w:val="24"/>
                <w:highlight w:val="none"/>
              </w:rPr>
            </w:pPr>
            <w:r>
              <w:rPr>
                <w:rFonts w:hAnsi="宋体" w:cs="宋体"/>
                <w:sz w:val="24"/>
                <w:szCs w:val="24"/>
                <w:highlight w:val="none"/>
              </w:rPr>
              <w:t>▲</w:t>
            </w:r>
            <w:r>
              <w:rPr>
                <w:rFonts w:hint="eastAsia" w:hAnsi="宋体" w:cs="宋体"/>
                <w:sz w:val="24"/>
                <w:szCs w:val="24"/>
                <w:highlight w:val="none"/>
              </w:rPr>
              <w:t>（五）进度要求：供应商接到项目造价评估任务后10个工作日内完成评估工作并出具评估报告。</w:t>
            </w:r>
          </w:p>
          <w:p>
            <w:pPr>
              <w:pStyle w:val="76"/>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（六）人员要求</w:t>
            </w:r>
          </w:p>
          <w:p>
            <w:pPr>
              <w:pStyle w:val="76"/>
              <w:spacing w:line="400" w:lineRule="exact"/>
              <w:ind w:firstLine="0" w:firstLineChars="0"/>
              <w:textAlignment w:val="baseline"/>
              <w:rPr>
                <w:rFonts w:hAnsi="宋体" w:cs="宋体"/>
                <w:sz w:val="24"/>
                <w:szCs w:val="24"/>
                <w:highlight w:val="none"/>
              </w:rPr>
            </w:pPr>
            <w:r>
              <w:rPr>
                <w:rFonts w:hint="eastAsia" w:ascii="宋体" w:hAnsi="宋体" w:cs="宋体"/>
                <w:color w:val="000000"/>
                <w:kern w:val="0"/>
                <w:sz w:val="24"/>
                <w:highlight w:val="none"/>
              </w:rPr>
              <w:t>为使项目按质、按量、按时、有序实施，供应商必须成立项目实施小组，指定1名项目负责人。</w:t>
            </w:r>
            <w:r>
              <w:rPr>
                <w:rFonts w:hint="eastAsia" w:ascii="宋体" w:hAnsi="宋体" w:cs="宋体"/>
                <w:b/>
                <w:bCs/>
                <w:color w:val="000000"/>
                <w:kern w:val="0"/>
                <w:sz w:val="24"/>
                <w:highlight w:val="none"/>
              </w:rPr>
              <w:t>项目负责人必须同时具有注册造价师证书、软件工程造价师证书（提供证书复印件、半年内任意</w:t>
            </w:r>
            <w:r>
              <w:rPr>
                <w:rFonts w:hint="eastAsia" w:ascii="宋体" w:hAnsi="宋体" w:cs="宋体"/>
                <w:b/>
                <w:bCs/>
                <w:color w:val="000000"/>
                <w:kern w:val="0"/>
                <w:sz w:val="24"/>
                <w:highlight w:val="none"/>
                <w:lang w:val="en-US" w:eastAsia="zh-CN"/>
              </w:rPr>
              <w:t>1</w:t>
            </w:r>
            <w:r>
              <w:rPr>
                <w:rFonts w:hint="eastAsia" w:ascii="宋体" w:hAnsi="宋体" w:cs="宋体"/>
                <w:b/>
                <w:bCs/>
                <w:color w:val="000000"/>
                <w:kern w:val="0"/>
                <w:sz w:val="24"/>
                <w:highlight w:val="none"/>
              </w:rPr>
              <w:t>个月</w:t>
            </w:r>
            <w:r>
              <w:rPr>
                <w:rFonts w:hint="eastAsia" w:ascii="宋体" w:hAnsi="宋体" w:cs="宋体"/>
                <w:b/>
                <w:bCs/>
                <w:color w:val="000000"/>
                <w:kern w:val="0"/>
                <w:sz w:val="24"/>
                <w:highlight w:val="none"/>
                <w:lang w:eastAsia="zh-CN"/>
              </w:rPr>
              <w:t>缴纳</w:t>
            </w:r>
            <w:r>
              <w:rPr>
                <w:rFonts w:hint="eastAsia" w:ascii="宋体" w:hAnsi="宋体" w:cs="宋体"/>
                <w:b/>
                <w:bCs/>
                <w:color w:val="000000"/>
                <w:kern w:val="0"/>
                <w:sz w:val="24"/>
                <w:highlight w:val="none"/>
              </w:rPr>
              <w:t>社保</w:t>
            </w:r>
            <w:r>
              <w:rPr>
                <w:rFonts w:hint="eastAsia" w:ascii="宋体" w:hAnsi="宋体" w:cs="宋体"/>
                <w:b/>
                <w:bCs/>
                <w:color w:val="000000"/>
                <w:kern w:val="0"/>
                <w:sz w:val="24"/>
                <w:highlight w:val="none"/>
                <w:lang w:eastAsia="zh-CN"/>
              </w:rPr>
              <w:t>的</w:t>
            </w:r>
            <w:r>
              <w:rPr>
                <w:rFonts w:hint="eastAsia" w:ascii="宋体" w:hAnsi="宋体" w:cs="宋体"/>
                <w:b/>
                <w:bCs/>
                <w:color w:val="000000"/>
                <w:kern w:val="0"/>
                <w:sz w:val="24"/>
                <w:highlight w:val="none"/>
              </w:rPr>
              <w:t>证明复印件并加盖公章）。</w:t>
            </w:r>
            <w:r>
              <w:rPr>
                <w:rFonts w:hint="eastAsia" w:ascii="宋体" w:hAnsi="宋体" w:cs="宋体"/>
                <w:color w:val="000000"/>
                <w:kern w:val="0"/>
                <w:sz w:val="24"/>
                <w:highlight w:val="none"/>
              </w:rPr>
              <w:t>供应商必须承诺成交后对本项目负责人不得随意更换，若要换人，须经采购人同意认可。</w:t>
            </w:r>
          </w:p>
          <w:p>
            <w:pPr>
              <w:pStyle w:val="76"/>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（七）评估结果提交</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1.提供项目概预算评估报告，其中电子工程建设项目内容包含但不限于信息网络工程项目设备清单价格、软件开发项目预算评估。</w:t>
            </w:r>
          </w:p>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2.在评估结束时必须提供原始评估数据，并刻录光盘2份。</w:t>
            </w:r>
          </w:p>
          <w:p>
            <w:pPr>
              <w:pStyle w:val="76"/>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hAnsi="宋体" w:cs="宋体"/>
                <w:sz w:val="24"/>
                <w:szCs w:val="24"/>
                <w:highlight w:val="none"/>
              </w:rPr>
              <w:t>三</w:t>
            </w:r>
            <w:r>
              <w:rPr>
                <w:rFonts w:hint="eastAsia" w:ascii="宋体" w:hAnsi="宋体" w:cs="宋体"/>
                <w:color w:val="000000"/>
                <w:kern w:val="0"/>
                <w:sz w:val="24"/>
                <w:highlight w:val="none"/>
              </w:rPr>
              <w:t>、服务期：自合同</w:t>
            </w:r>
            <w:r>
              <w:rPr>
                <w:rFonts w:hint="eastAsia" w:ascii="宋体" w:hAnsi="宋体" w:cs="宋体"/>
                <w:color w:val="000000"/>
                <w:kern w:val="0"/>
                <w:sz w:val="24"/>
                <w:highlight w:val="none"/>
                <w:lang w:eastAsia="zh-CN"/>
              </w:rPr>
              <w:t>双方签字盖章生效之日起至</w:t>
            </w:r>
            <w:r>
              <w:rPr>
                <w:rFonts w:hint="eastAsia" w:ascii="宋体" w:hAnsi="宋体" w:cs="宋体"/>
                <w:color w:val="000000"/>
                <w:kern w:val="0"/>
                <w:sz w:val="24"/>
                <w:highlight w:val="none"/>
                <w:lang w:val="en-US" w:eastAsia="zh-CN"/>
              </w:rPr>
              <w:t>2023年12月31日止，在项目采购预算金额范围内</w:t>
            </w:r>
            <w:r>
              <w:rPr>
                <w:rFonts w:hint="eastAsia" w:ascii="宋体" w:hAnsi="宋体" w:cs="宋体"/>
                <w:color w:val="000000"/>
                <w:kern w:val="0"/>
                <w:sz w:val="24"/>
                <w:highlight w:val="none"/>
                <w:lang w:eastAsia="zh-CN"/>
              </w:rPr>
              <w:t>据实结算（若合同服务期内项目执行金额实际使用结束之日早于</w:t>
            </w:r>
            <w:r>
              <w:rPr>
                <w:rFonts w:hint="eastAsia" w:ascii="宋体" w:hAnsi="宋体" w:cs="宋体"/>
                <w:color w:val="000000"/>
                <w:kern w:val="0"/>
                <w:sz w:val="24"/>
                <w:highlight w:val="none"/>
                <w:lang w:val="en-US" w:eastAsia="zh-CN"/>
              </w:rPr>
              <w:t>2023年12月31日，则按实际使用结束之日作为合同终止日期</w:t>
            </w:r>
            <w:r>
              <w:rPr>
                <w:rFonts w:hint="eastAsia" w:ascii="宋体" w:hAnsi="宋体" w:cs="宋体"/>
                <w:color w:val="000000"/>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544"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szCs w:val="21"/>
              </w:rPr>
            </w:pPr>
            <w:r>
              <w:rPr>
                <w:rFonts w:hint="eastAsia" w:ascii="宋体" w:hAnsi="宋体" w:cs="宋体"/>
                <w:b/>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报价要求</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本次项目服务的采购预算为人民币20万元，服务费用按实际服务项目个数计取，单个项目服务费用参考计费标准见附表，供应商</w:t>
            </w:r>
            <w:r>
              <w:rPr>
                <w:rFonts w:hint="eastAsia" w:ascii="宋体" w:hAnsi="宋体" w:cs="宋体"/>
                <w:color w:val="000000"/>
                <w:kern w:val="0"/>
                <w:sz w:val="24"/>
                <w:highlight w:val="none"/>
                <w:lang w:eastAsia="zh-CN"/>
              </w:rPr>
              <w:t>就单个</w:t>
            </w:r>
            <w:r>
              <w:rPr>
                <w:rFonts w:hint="eastAsia" w:ascii="宋体" w:hAnsi="宋体" w:cs="宋体"/>
                <w:color w:val="000000"/>
                <w:kern w:val="0"/>
                <w:sz w:val="24"/>
                <w:highlight w:val="none"/>
              </w:rPr>
              <w:t>项目服务费用计费标准</w:t>
            </w:r>
            <w:r>
              <w:rPr>
                <w:rFonts w:hint="eastAsia" w:ascii="宋体" w:hAnsi="宋体" w:cs="宋体"/>
                <w:color w:val="000000"/>
                <w:kern w:val="0"/>
                <w:sz w:val="24"/>
                <w:highlight w:val="none"/>
                <w:lang w:eastAsia="zh-CN"/>
              </w:rPr>
              <w:t>优惠率进行</w:t>
            </w:r>
            <w:r>
              <w:rPr>
                <w:rFonts w:hint="eastAsia" w:ascii="宋体" w:hAnsi="宋体" w:cs="宋体"/>
                <w:color w:val="000000"/>
                <w:kern w:val="0"/>
                <w:sz w:val="24"/>
                <w:highlight w:val="none"/>
              </w:rPr>
              <w:t>报价。本项目报价为完成采购人指定内容的整体包干价，包含但不限于实施和完成本项目全部工作所需的服务成本、劳务费、交通、通讯、保险、税费和利润等项目有关一切费用。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rPr>
            </w:pPr>
            <w:r>
              <w:rPr>
                <w:rFonts w:hAnsi="宋体" w:cs="宋体"/>
                <w:sz w:val="24"/>
                <w:szCs w:val="24"/>
              </w:rPr>
              <w:t>▲</w:t>
            </w:r>
            <w:r>
              <w:rPr>
                <w:rFonts w:hint="eastAsia" w:ascii="宋体" w:hAnsi="宋体" w:cs="宋体"/>
                <w:color w:val="000000"/>
                <w:kern w:val="0"/>
                <w:sz w:val="24"/>
              </w:rPr>
              <w:t>提交服务成果时间及地点</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1.提交服务成果时间：自合同签订之日起按需提供服务。</w:t>
            </w:r>
          </w:p>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2.提交服务成果地点：广西区内采购人指定地点。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付款方式</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lang w:eastAsia="zh-CN"/>
              </w:rPr>
              <w:t>自合同双方签字盖章生效之日起，</w:t>
            </w:r>
            <w:r>
              <w:rPr>
                <w:rFonts w:hint="eastAsia" w:ascii="宋体" w:hAnsi="宋体" w:cs="宋体"/>
                <w:color w:val="000000"/>
                <w:kern w:val="0"/>
                <w:sz w:val="24"/>
                <w:highlight w:val="none"/>
              </w:rPr>
              <w:t>每</w:t>
            </w:r>
            <w:r>
              <w:rPr>
                <w:rFonts w:hint="eastAsia" w:ascii="宋体" w:hAnsi="宋体" w:cs="宋体"/>
                <w:color w:val="000000"/>
                <w:kern w:val="0"/>
                <w:sz w:val="24"/>
                <w:highlight w:val="none"/>
                <w:lang w:eastAsia="zh-CN"/>
              </w:rPr>
              <w:t>两个月</w:t>
            </w:r>
            <w:r>
              <w:rPr>
                <w:rFonts w:hint="eastAsia" w:ascii="宋体" w:hAnsi="宋体" w:cs="宋体"/>
                <w:color w:val="000000"/>
                <w:kern w:val="0"/>
                <w:sz w:val="24"/>
                <w:highlight w:val="none"/>
              </w:rPr>
              <w:t>结束前，供应商向采购单位提供已完成服务的项目费用清单和项目造价评估报告，经采购单位确认后，提供请款函和正规发票，采购人向供应商支付服务费用。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其他要求</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1.供应商应根据本项目实际情况，在响应文件中提供服务方案、荣（信）誉、业绩、奖项、资质（格）证书及拟投入人员相关证明等材料。</w:t>
            </w:r>
          </w:p>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2.供应商须为本项目服务实施投入充足的服务人员，并确保响应文件中的人员信息真实、有效。</w:t>
            </w:r>
          </w:p>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3.成交人及其工作人员对工作中涉及的国家秘密、商业秘密和个人隐私等予以保密，涉密文件和介质按相关规定使用和保存，未经批准不得对外透露工作信息，不得接受采访或以个人名义对外发表与评估内容相关的言论或文章。</w:t>
            </w:r>
          </w:p>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4.成交人不得将项目非法分包或转包给任何单位和个人，否则采购人有权即刻终止合同，并要求成交人赔偿相应损失。</w:t>
            </w:r>
          </w:p>
          <w:p>
            <w:pPr>
              <w:pStyle w:val="76"/>
              <w:spacing w:line="400" w:lineRule="exact"/>
              <w:ind w:firstLine="0" w:firstLineChars="0"/>
              <w:textAlignment w:val="baseline"/>
              <w:rPr>
                <w:rFonts w:ascii="宋体" w:hAnsi="宋体" w:cs="宋体"/>
                <w:color w:val="000000"/>
                <w:kern w:val="0"/>
                <w:sz w:val="24"/>
              </w:rPr>
            </w:pPr>
            <w:r>
              <w:rPr>
                <w:rFonts w:hint="eastAsia" w:ascii="宋体" w:hAnsi="宋体" w:cs="宋体"/>
                <w:color w:val="000000"/>
                <w:kern w:val="0"/>
                <w:sz w:val="24"/>
              </w:rPr>
              <w:t>5.知识产权：采购人在中华人民共和国境内使用成交人提供的产品及服务时免受第三方提出的侵犯其专利权或其它知识产权的起诉。如果第三方提出侵权指控，成交人应承担由此而引起的一切法律责任和费用。</w:t>
            </w:r>
          </w:p>
        </w:tc>
      </w:tr>
    </w:tbl>
    <w:p>
      <w:pPr>
        <w:rPr>
          <w:rFonts w:ascii="宋体" w:hAnsi="宋体" w:cs="宋体"/>
          <w:sz w:val="24"/>
        </w:rPr>
      </w:pPr>
    </w:p>
    <w:p>
      <w:pPr>
        <w:pStyle w:val="13"/>
        <w:rPr>
          <w:rFonts w:ascii="宋体" w:hAnsi="宋体" w:cs="宋体"/>
          <w:sz w:val="24"/>
        </w:rPr>
      </w:pPr>
      <w:r>
        <w:rPr>
          <w:rFonts w:hint="eastAsia" w:ascii="宋体" w:hAnsi="宋体" w:cs="宋体"/>
          <w:sz w:val="24"/>
        </w:rPr>
        <w:t>单个项目服务费用参考计费标准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440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pPr>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4409"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项目规模（以最后核定后为准）</w:t>
            </w:r>
          </w:p>
        </w:tc>
        <w:tc>
          <w:tcPr>
            <w:tcW w:w="2841"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参考取费标准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pPr>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4409"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50万元以下（含50万）</w:t>
            </w:r>
          </w:p>
        </w:tc>
        <w:tc>
          <w:tcPr>
            <w:tcW w:w="2841"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pPr>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4409"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50万—100万元（含100万）</w:t>
            </w:r>
          </w:p>
        </w:tc>
        <w:tc>
          <w:tcPr>
            <w:tcW w:w="2841"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pPr>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4409"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100万—200万元（含200万）</w:t>
            </w:r>
          </w:p>
        </w:tc>
        <w:tc>
          <w:tcPr>
            <w:tcW w:w="2841" w:type="dxa"/>
          </w:tcPr>
          <w:p>
            <w:pPr>
              <w:spacing w:line="5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Pr>
          <w:p>
            <w:pPr>
              <w:spacing w:line="5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w:t>
            </w:r>
          </w:p>
        </w:tc>
        <w:tc>
          <w:tcPr>
            <w:tcW w:w="4409" w:type="dxa"/>
          </w:tcPr>
          <w:p>
            <w:pPr>
              <w:spacing w:line="560" w:lineRule="exac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200万元以上项目</w:t>
            </w:r>
          </w:p>
        </w:tc>
        <w:tc>
          <w:tcPr>
            <w:tcW w:w="2841" w:type="dxa"/>
          </w:tcPr>
          <w:p>
            <w:pPr>
              <w:spacing w:line="560" w:lineRule="exac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按</w:t>
            </w:r>
            <w:r>
              <w:rPr>
                <w:rFonts w:hint="eastAsia" w:asciiTheme="minorEastAsia" w:hAnsiTheme="minorEastAsia" w:eastAsiaTheme="minorEastAsia" w:cstheme="minorEastAsia"/>
                <w:sz w:val="24"/>
                <w:highlight w:val="none"/>
                <w:lang w:eastAsia="zh-CN"/>
              </w:rPr>
              <w:t>核定</w:t>
            </w:r>
            <w:r>
              <w:rPr>
                <w:rFonts w:hint="eastAsia" w:asciiTheme="minorEastAsia" w:hAnsiTheme="minorEastAsia" w:eastAsiaTheme="minorEastAsia" w:cstheme="minorEastAsia"/>
                <w:sz w:val="24"/>
                <w:highlight w:val="none"/>
              </w:rPr>
              <w:t>金额的0.6%计</w:t>
            </w:r>
          </w:p>
        </w:tc>
      </w:tr>
    </w:tbl>
    <w:p>
      <w:pPr>
        <w:pStyle w:val="13"/>
        <w:rPr>
          <w:rFonts w:ascii="宋体" w:hAnsi="宋体" w:cs="宋体"/>
          <w:sz w:val="24"/>
        </w:rPr>
      </w:pPr>
    </w:p>
    <w:p>
      <w:pPr>
        <w:pStyle w:val="13"/>
        <w:rPr>
          <w:rFonts w:ascii="宋体" w:hAnsi="宋体" w:cs="宋体"/>
          <w:sz w:val="24"/>
        </w:rPr>
      </w:pPr>
    </w:p>
    <w:p>
      <w:pPr>
        <w:pStyle w:val="13"/>
        <w:rPr>
          <w:rFonts w:ascii="宋体" w:hAnsi="宋体" w:cs="宋体"/>
          <w:sz w:val="24"/>
        </w:rPr>
      </w:pPr>
    </w:p>
    <w:p>
      <w:pPr>
        <w:pStyle w:val="13"/>
        <w:rPr>
          <w:rFonts w:ascii="宋体" w:hAnsi="宋体" w:cs="宋体"/>
          <w:sz w:val="24"/>
        </w:rPr>
      </w:pPr>
    </w:p>
    <w:p>
      <w:pPr>
        <w:rPr>
          <w:rFonts w:ascii="宋体" w:hAnsi="宋体" w:cs="宋体"/>
          <w:sz w:val="24"/>
        </w:rPr>
      </w:pPr>
      <w:r>
        <w:rPr>
          <w:rFonts w:hint="eastAsia" w:ascii="宋体" w:hAnsi="宋体" w:cs="宋体"/>
          <w:sz w:val="24"/>
        </w:rPr>
        <w:br w:type="page"/>
      </w:r>
    </w:p>
    <w:p>
      <w:pPr>
        <w:spacing w:line="500" w:lineRule="exact"/>
        <w:jc w:val="center"/>
        <w:rPr>
          <w:rFonts w:ascii="宋体" w:hAnsi="宋体"/>
          <w:b/>
          <w:sz w:val="32"/>
          <w:szCs w:val="32"/>
        </w:rPr>
      </w:pPr>
      <w:r>
        <w:rPr>
          <w:rFonts w:hint="eastAsia" w:ascii="宋体" w:hAnsi="宋体"/>
          <w:b/>
          <w:sz w:val="28"/>
          <w:szCs w:val="32"/>
        </w:rPr>
        <w:t>第四章 评审办法及成交标准</w:t>
      </w:r>
    </w:p>
    <w:p>
      <w:pPr>
        <w:pStyle w:val="15"/>
        <w:spacing w:before="72" w:beforeLines="30" w:after="72" w:afterLines="30"/>
        <w:ind w:firstLine="482" w:firstLineChars="200"/>
        <w:jc w:val="center"/>
        <w:rPr>
          <w:b/>
          <w:sz w:val="24"/>
          <w:szCs w:val="24"/>
        </w:rPr>
      </w:pPr>
      <w:r>
        <w:rPr>
          <w:rFonts w:hint="eastAsia"/>
          <w:b/>
          <w:sz w:val="24"/>
          <w:szCs w:val="24"/>
        </w:rPr>
        <w:t>综合评分法</w:t>
      </w:r>
    </w:p>
    <w:p>
      <w:pPr>
        <w:pStyle w:val="15"/>
        <w:spacing w:line="400" w:lineRule="exact"/>
        <w:ind w:firstLine="482" w:firstLineChars="200"/>
        <w:rPr>
          <w:rFonts w:hAnsi="宋体" w:cs="宋体"/>
          <w:b/>
          <w:bCs/>
          <w:sz w:val="24"/>
          <w:szCs w:val="24"/>
        </w:rPr>
      </w:pPr>
      <w:r>
        <w:rPr>
          <w:rFonts w:hint="eastAsia" w:hAnsi="宋体" w:cs="宋体"/>
          <w:b/>
          <w:bCs/>
          <w:sz w:val="24"/>
          <w:szCs w:val="24"/>
        </w:rPr>
        <w:t>一、评审原则</w:t>
      </w:r>
    </w:p>
    <w:p>
      <w:pPr>
        <w:pStyle w:val="15"/>
        <w:spacing w:line="400" w:lineRule="exact"/>
        <w:ind w:firstLine="480" w:firstLineChars="200"/>
        <w:rPr>
          <w:rFonts w:hAnsi="宋体" w:cs="宋体"/>
          <w:sz w:val="24"/>
          <w:szCs w:val="24"/>
        </w:rPr>
      </w:pPr>
      <w:r>
        <w:rPr>
          <w:rFonts w:hint="eastAsia" w:hAnsi="宋体" w:cs="宋体"/>
          <w:sz w:val="24"/>
          <w:szCs w:val="24"/>
        </w:rPr>
        <w:t>(一)评审小组构成：本项目的评审小组由采购人单位采购小组成员组成，成员人数应当为三人以上（含三人）单数。</w:t>
      </w:r>
    </w:p>
    <w:p>
      <w:pPr>
        <w:pStyle w:val="15"/>
        <w:spacing w:line="400" w:lineRule="exact"/>
        <w:ind w:firstLine="480" w:firstLineChars="200"/>
        <w:rPr>
          <w:rFonts w:hAnsi="宋体" w:cs="宋体"/>
          <w:sz w:val="24"/>
          <w:szCs w:val="24"/>
        </w:rPr>
      </w:pPr>
      <w:r>
        <w:rPr>
          <w:rFonts w:hint="eastAsia" w:hAnsi="宋体" w:cs="宋体"/>
          <w:sz w:val="24"/>
          <w:szCs w:val="24"/>
        </w:rPr>
        <w:t>(二)评审依据：评审小组将以采购文件和响应文件为评定依据进行评审。</w:t>
      </w:r>
    </w:p>
    <w:p>
      <w:pPr>
        <w:pStyle w:val="15"/>
        <w:spacing w:line="400" w:lineRule="exact"/>
        <w:ind w:firstLine="480" w:firstLineChars="200"/>
        <w:rPr>
          <w:rFonts w:hAnsi="宋体" w:cs="宋体"/>
          <w:sz w:val="24"/>
          <w:szCs w:val="24"/>
        </w:rPr>
      </w:pPr>
      <w:r>
        <w:rPr>
          <w:rFonts w:hint="eastAsia" w:hAnsi="宋体" w:cs="宋体"/>
          <w:sz w:val="24"/>
          <w:szCs w:val="24"/>
        </w:rPr>
        <w:t>(三)评审办法：采用百分制综合评分法。</w:t>
      </w:r>
    </w:p>
    <w:p>
      <w:pPr>
        <w:pStyle w:val="15"/>
        <w:spacing w:line="400" w:lineRule="exact"/>
        <w:ind w:firstLine="482" w:firstLineChars="200"/>
        <w:rPr>
          <w:rFonts w:hAnsi="宋体" w:cs="宋体"/>
          <w:b/>
          <w:bCs/>
          <w:sz w:val="24"/>
          <w:szCs w:val="24"/>
        </w:rPr>
      </w:pPr>
      <w:r>
        <w:rPr>
          <w:rFonts w:hint="eastAsia" w:hAnsi="宋体" w:cs="宋体"/>
          <w:b/>
          <w:bCs/>
          <w:sz w:val="24"/>
          <w:szCs w:val="24"/>
        </w:rPr>
        <w:t>二、评审方法</w:t>
      </w:r>
    </w:p>
    <w:p>
      <w:pPr>
        <w:spacing w:line="400" w:lineRule="exact"/>
        <w:ind w:firstLine="480" w:firstLineChars="200"/>
        <w:rPr>
          <w:rFonts w:ascii="宋体" w:hAnsi="宋体" w:cs="宋体"/>
          <w:sz w:val="24"/>
        </w:rPr>
      </w:pPr>
      <w:r>
        <w:rPr>
          <w:rFonts w:hint="eastAsia" w:ascii="宋体" w:hAnsi="宋体" w:cs="宋体"/>
          <w:sz w:val="24"/>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sz w:val="24"/>
        </w:rPr>
      </w:pPr>
      <w:r>
        <w:rPr>
          <w:rFonts w:hint="eastAsia" w:ascii="宋体" w:hAnsi="宋体" w:cs="宋体"/>
          <w:sz w:val="24"/>
        </w:rPr>
        <w:t>评审小组将以采购文件、响应文件为评审依据，提出最后总得分最高的报价人作为成交人。</w:t>
      </w:r>
    </w:p>
    <w:p>
      <w:pPr>
        <w:pStyle w:val="15"/>
        <w:spacing w:line="400" w:lineRule="exact"/>
        <w:ind w:firstLine="482" w:firstLineChars="200"/>
        <w:rPr>
          <w:rFonts w:hAnsi="宋体" w:cs="宋体"/>
          <w:bCs/>
          <w:sz w:val="24"/>
          <w:szCs w:val="24"/>
        </w:rPr>
      </w:pPr>
      <w:r>
        <w:rPr>
          <w:rFonts w:hint="eastAsia" w:hAnsi="宋体" w:cs="宋体"/>
          <w:b/>
          <w:bCs/>
          <w:sz w:val="24"/>
          <w:szCs w:val="24"/>
        </w:rPr>
        <w:t>三、评分细则</w:t>
      </w:r>
      <w:r>
        <w:rPr>
          <w:rFonts w:hint="eastAsia" w:hAnsi="宋体" w:cs="宋体"/>
          <w:kern w:val="2"/>
          <w:sz w:val="24"/>
          <w:szCs w:val="24"/>
        </w:rPr>
        <w:t>（按四舍五入取至百分位）</w:t>
      </w:r>
    </w:p>
    <w:p>
      <w:pPr>
        <w:pStyle w:val="25"/>
        <w:widowControl w:val="0"/>
        <w:spacing w:before="0" w:beforeAutospacing="0" w:after="0" w:afterAutospacing="0" w:line="400" w:lineRule="exact"/>
        <w:ind w:firstLine="420"/>
        <w:jc w:val="both"/>
        <w:rPr>
          <w:rFonts w:cs="宋体"/>
          <w:b/>
          <w:highlight w:val="none"/>
        </w:rPr>
      </w:pPr>
      <w:r>
        <w:rPr>
          <w:rFonts w:cs="宋体"/>
          <w:b/>
          <w:highlight w:val="none"/>
        </w:rPr>
        <w:t>（一）</w:t>
      </w:r>
      <w:r>
        <w:rPr>
          <w:rFonts w:hint="eastAsia" w:cs="宋体"/>
          <w:b/>
          <w:highlight w:val="none"/>
          <w:lang w:eastAsia="zh-CN"/>
        </w:rPr>
        <w:t>价格</w:t>
      </w:r>
      <w:r>
        <w:rPr>
          <w:rFonts w:cs="宋体"/>
          <w:b/>
          <w:highlight w:val="none"/>
        </w:rPr>
        <w:t>分……………………………………………………………………</w:t>
      </w:r>
      <w:r>
        <w:rPr>
          <w:rFonts w:hint="eastAsia" w:cs="宋体"/>
          <w:b/>
          <w:highlight w:val="none"/>
          <w:lang w:val="en-US" w:eastAsia="zh-CN"/>
        </w:rPr>
        <w:t>1</w:t>
      </w:r>
      <w:r>
        <w:rPr>
          <w:rFonts w:cs="宋体"/>
          <w:b/>
          <w:highlight w:val="none"/>
        </w:rPr>
        <w:t>0分</w:t>
      </w:r>
    </w:p>
    <w:p>
      <w:pPr>
        <w:pStyle w:val="25"/>
        <w:widowControl w:val="0"/>
        <w:spacing w:before="0" w:beforeAutospacing="0" w:after="0" w:afterAutospacing="0" w:line="400" w:lineRule="exact"/>
        <w:ind w:firstLine="420"/>
        <w:jc w:val="both"/>
        <w:rPr>
          <w:rFonts w:hint="eastAsia" w:eastAsia="宋体" w:cs="宋体"/>
          <w:bCs/>
          <w:highlight w:val="none"/>
          <w:lang w:eastAsia="zh-CN"/>
        </w:rPr>
      </w:pPr>
      <w:r>
        <w:rPr>
          <w:rFonts w:hint="eastAsia" w:cs="宋体"/>
          <w:bCs/>
          <w:highlight w:val="none"/>
          <w:lang w:eastAsia="zh-CN"/>
        </w:rPr>
        <w:t>价格分</w:t>
      </w:r>
      <w:r>
        <w:rPr>
          <w:rFonts w:hint="eastAsia" w:cs="宋体"/>
          <w:bCs/>
          <w:highlight w:val="none"/>
        </w:rPr>
        <w:t>的计算方法为以所有有效优惠率的最高优惠率为基准优惠率，其最高优惠率为该项目满分，其他</w:t>
      </w:r>
      <w:r>
        <w:rPr>
          <w:rFonts w:hint="eastAsia" w:cs="宋体"/>
          <w:bCs/>
          <w:highlight w:val="none"/>
          <w:lang w:eastAsia="zh-CN"/>
        </w:rPr>
        <w:t>供应商</w:t>
      </w:r>
      <w:r>
        <w:rPr>
          <w:rFonts w:hint="eastAsia" w:cs="宋体"/>
          <w:bCs/>
          <w:highlight w:val="none"/>
        </w:rPr>
        <w:t>的优惠率分统一按照</w:t>
      </w:r>
      <w:r>
        <w:rPr>
          <w:rFonts w:hint="eastAsia" w:cs="宋体"/>
          <w:bCs/>
          <w:highlight w:val="none"/>
          <w:lang w:eastAsia="zh-CN"/>
        </w:rPr>
        <w:t>以下公式计算：</w:t>
      </w:r>
    </w:p>
    <w:p>
      <w:pPr>
        <w:pStyle w:val="25"/>
        <w:widowControl w:val="0"/>
        <w:spacing w:before="0" w:beforeAutospacing="0" w:after="0" w:afterAutospacing="0" w:line="400" w:lineRule="exact"/>
        <w:ind w:firstLine="420"/>
        <w:jc w:val="both"/>
        <w:rPr>
          <w:rFonts w:cs="宋体"/>
          <w:b w:val="0"/>
          <w:bCs/>
          <w:highlight w:val="none"/>
        </w:rPr>
      </w:pPr>
      <w:r>
        <w:rPr>
          <w:rFonts w:hint="eastAsia" w:cs="宋体"/>
          <w:bCs/>
          <w:highlight w:val="none"/>
          <w:lang w:eastAsia="zh-CN"/>
        </w:rPr>
        <w:t>报价</w:t>
      </w:r>
      <w:r>
        <w:rPr>
          <w:rFonts w:hint="eastAsia" w:cs="宋体"/>
          <w:bCs/>
          <w:highlight w:val="none"/>
        </w:rPr>
        <w:t>优惠率得分=（</w:t>
      </w:r>
      <w:r>
        <w:rPr>
          <w:rFonts w:hint="eastAsia" w:cs="宋体"/>
          <w:bCs/>
          <w:highlight w:val="none"/>
          <w:lang w:eastAsia="zh-CN"/>
        </w:rPr>
        <w:t>报价</w:t>
      </w:r>
      <w:r>
        <w:rPr>
          <w:rFonts w:hint="eastAsia" w:cs="宋体"/>
          <w:bCs/>
          <w:highlight w:val="none"/>
        </w:rPr>
        <w:t>优惠率/基准优惠率）*10%*100。</w:t>
      </w:r>
    </w:p>
    <w:p>
      <w:pPr>
        <w:pStyle w:val="25"/>
        <w:widowControl w:val="0"/>
        <w:spacing w:before="0" w:beforeAutospacing="0" w:after="0" w:afterAutospacing="0" w:line="400" w:lineRule="exact"/>
        <w:ind w:firstLine="420"/>
        <w:jc w:val="both"/>
        <w:rPr>
          <w:rFonts w:hint="default" w:cs="宋体"/>
          <w:b/>
        </w:rPr>
      </w:pPr>
      <w:r>
        <w:rPr>
          <w:rFonts w:cs="宋体"/>
          <w:b/>
        </w:rPr>
        <w:t>（</w:t>
      </w:r>
      <w:r>
        <w:rPr>
          <w:rFonts w:hint="eastAsia" w:cs="宋体"/>
          <w:b/>
          <w:lang w:eastAsia="zh-CN"/>
        </w:rPr>
        <w:t>二</w:t>
      </w:r>
      <w:r>
        <w:rPr>
          <w:rFonts w:cs="宋体"/>
          <w:b/>
        </w:rPr>
        <w:t>）技术分……………………………………………………………………</w:t>
      </w:r>
      <w:r>
        <w:rPr>
          <w:rFonts w:hint="eastAsia" w:cs="宋体"/>
          <w:b/>
          <w:lang w:val="en-US" w:eastAsia="zh-CN"/>
        </w:rPr>
        <w:t>55</w:t>
      </w:r>
      <w:r>
        <w:rPr>
          <w:rFonts w:cs="宋体"/>
          <w:b/>
        </w:rPr>
        <w:t>分</w:t>
      </w:r>
    </w:p>
    <w:p>
      <w:pPr>
        <w:pStyle w:val="25"/>
        <w:widowControl w:val="0"/>
        <w:spacing w:before="0" w:beforeAutospacing="0" w:after="0" w:afterAutospacing="0" w:line="400" w:lineRule="exact"/>
        <w:ind w:firstLine="420"/>
        <w:jc w:val="both"/>
        <w:rPr>
          <w:rFonts w:hint="default" w:cs="宋体"/>
          <w:bCs/>
        </w:rPr>
      </w:pPr>
      <w:r>
        <w:rPr>
          <w:rFonts w:cs="宋体"/>
          <w:bCs/>
        </w:rPr>
        <w:t>由评审小组根据供应商所提供的服务方案的优劣情况进行独立打分。</w:t>
      </w:r>
    </w:p>
    <w:p>
      <w:pPr>
        <w:pStyle w:val="25"/>
        <w:widowControl w:val="0"/>
        <w:spacing w:before="0" w:beforeAutospacing="0" w:after="0" w:afterAutospacing="0" w:line="400" w:lineRule="exact"/>
        <w:ind w:firstLine="420"/>
        <w:jc w:val="both"/>
        <w:rPr>
          <w:rFonts w:hint="eastAsia" w:eastAsia="宋体" w:cs="宋体"/>
          <w:bCs/>
          <w:lang w:val="en-US" w:eastAsia="zh-CN"/>
        </w:rPr>
      </w:pPr>
      <w:r>
        <w:rPr>
          <w:rFonts w:cs="宋体"/>
          <w:bCs/>
        </w:rPr>
        <w:t>1.评估总体方案（含对评估项目的文本规范性、需求分析合理性、必要性、可行性、技术方案、项目投资资金合理性制定评审方案）：（满分</w:t>
      </w:r>
      <w:r>
        <w:rPr>
          <w:rFonts w:hint="eastAsia" w:cs="宋体"/>
          <w:bCs/>
          <w:lang w:val="en-US" w:eastAsia="zh-CN"/>
        </w:rPr>
        <w:t>25</w:t>
      </w:r>
      <w:r>
        <w:rPr>
          <w:rFonts w:cs="宋体"/>
          <w:bCs/>
        </w:rPr>
        <w:t>分）</w:t>
      </w:r>
      <w:r>
        <w:rPr>
          <w:rFonts w:hint="eastAsia" w:cs="宋体"/>
          <w:bCs/>
          <w:lang w:val="en-US" w:eastAsia="zh-CN"/>
        </w:rPr>
        <w:t xml:space="preserve"> </w:t>
      </w:r>
    </w:p>
    <w:p>
      <w:pPr>
        <w:pStyle w:val="25"/>
        <w:widowControl w:val="0"/>
        <w:spacing w:before="0" w:beforeAutospacing="0" w:after="0" w:afterAutospacing="0" w:line="400" w:lineRule="exact"/>
        <w:ind w:firstLine="420"/>
        <w:jc w:val="both"/>
        <w:rPr>
          <w:rFonts w:hint="default" w:cs="宋体"/>
          <w:bCs/>
        </w:rPr>
      </w:pPr>
      <w:r>
        <w:rPr>
          <w:rFonts w:cs="宋体"/>
          <w:bCs/>
        </w:rPr>
        <w:t>服务方案中应提供评估总体方案，未提供不得分。</w:t>
      </w:r>
    </w:p>
    <w:p>
      <w:pPr>
        <w:pStyle w:val="25"/>
        <w:widowControl w:val="0"/>
        <w:spacing w:before="0" w:beforeAutospacing="0" w:after="0" w:afterAutospacing="0" w:line="400" w:lineRule="exact"/>
        <w:ind w:firstLine="420"/>
        <w:jc w:val="both"/>
        <w:rPr>
          <w:rFonts w:hint="default" w:cs="宋体"/>
          <w:bCs/>
        </w:rPr>
      </w:pPr>
      <w:r>
        <w:rPr>
          <w:rFonts w:cs="宋体"/>
          <w:bCs/>
        </w:rPr>
        <w:t>一档（</w:t>
      </w:r>
      <w:r>
        <w:rPr>
          <w:rFonts w:hint="eastAsia" w:cs="宋体"/>
          <w:bCs/>
          <w:lang w:val="en-US" w:eastAsia="zh-CN"/>
        </w:rPr>
        <w:t>6</w:t>
      </w:r>
      <w:r>
        <w:rPr>
          <w:rFonts w:cs="宋体"/>
          <w:bCs/>
        </w:rPr>
        <w:t>分）：总体方案仅针对部分内容制定评审方案，且方案内容简单、粗略。</w:t>
      </w:r>
    </w:p>
    <w:p>
      <w:pPr>
        <w:pStyle w:val="25"/>
        <w:widowControl w:val="0"/>
        <w:spacing w:before="0" w:beforeAutospacing="0" w:after="0" w:afterAutospacing="0" w:line="400" w:lineRule="exact"/>
        <w:ind w:firstLine="420"/>
        <w:jc w:val="both"/>
        <w:rPr>
          <w:rFonts w:hint="default" w:cs="宋体"/>
          <w:bCs/>
        </w:rPr>
      </w:pPr>
      <w:r>
        <w:rPr>
          <w:rFonts w:cs="宋体"/>
          <w:bCs/>
        </w:rPr>
        <w:t>二档（</w:t>
      </w:r>
      <w:r>
        <w:rPr>
          <w:rFonts w:hint="eastAsia" w:cs="宋体"/>
          <w:bCs/>
          <w:lang w:val="en-US" w:eastAsia="zh-CN"/>
        </w:rPr>
        <w:t>12</w:t>
      </w:r>
      <w:r>
        <w:rPr>
          <w:rFonts w:cs="宋体"/>
          <w:bCs/>
        </w:rPr>
        <w:t>分）：总体方案仅针对部分内容制定评审方案，且方案内容针对性一般、可行性一般，可操作性一般，综合评定一般。</w:t>
      </w:r>
    </w:p>
    <w:p>
      <w:pPr>
        <w:pStyle w:val="25"/>
        <w:widowControl w:val="0"/>
        <w:spacing w:before="0" w:beforeAutospacing="0" w:after="0" w:afterAutospacing="0" w:line="400" w:lineRule="exact"/>
        <w:ind w:firstLine="420"/>
        <w:jc w:val="both"/>
        <w:rPr>
          <w:rFonts w:hint="default" w:cs="宋体"/>
          <w:bCs/>
        </w:rPr>
      </w:pPr>
      <w:r>
        <w:rPr>
          <w:rFonts w:cs="宋体"/>
          <w:bCs/>
        </w:rPr>
        <w:t>三档（</w:t>
      </w:r>
      <w:r>
        <w:rPr>
          <w:rFonts w:hint="eastAsia" w:cs="宋体"/>
          <w:bCs/>
          <w:lang w:val="en-US" w:eastAsia="zh-CN"/>
        </w:rPr>
        <w:t>18</w:t>
      </w:r>
      <w:r>
        <w:rPr>
          <w:rFonts w:cs="宋体"/>
          <w:bCs/>
        </w:rPr>
        <w:t>分）：总体方案分别对上述6项内容制定了评审方案，有一定针对性，可行性较高，可操作性较强，综合评定良好。</w:t>
      </w:r>
    </w:p>
    <w:p>
      <w:pPr>
        <w:pStyle w:val="25"/>
        <w:widowControl w:val="0"/>
        <w:spacing w:before="0" w:beforeAutospacing="0" w:after="0" w:afterAutospacing="0" w:line="400" w:lineRule="exact"/>
        <w:ind w:firstLine="420"/>
        <w:jc w:val="both"/>
        <w:rPr>
          <w:rFonts w:hint="default" w:cs="宋体"/>
          <w:bCs/>
        </w:rPr>
      </w:pPr>
      <w:r>
        <w:rPr>
          <w:rFonts w:cs="宋体"/>
          <w:bCs/>
        </w:rPr>
        <w:t>四档（</w:t>
      </w:r>
      <w:r>
        <w:rPr>
          <w:rFonts w:hint="eastAsia" w:cs="宋体"/>
          <w:bCs/>
          <w:lang w:val="en-US" w:eastAsia="zh-CN"/>
        </w:rPr>
        <w:t>25</w:t>
      </w:r>
      <w:r>
        <w:rPr>
          <w:rFonts w:cs="宋体"/>
          <w:bCs/>
        </w:rPr>
        <w:t>分）：总体方案分别对上述6项内容制定了评审方案，针对性强，可行性高，可操作性强，综合评定优秀。</w:t>
      </w:r>
    </w:p>
    <w:p>
      <w:pPr>
        <w:pStyle w:val="25"/>
        <w:widowControl w:val="0"/>
        <w:spacing w:before="0" w:beforeAutospacing="0" w:after="0" w:afterAutospacing="0" w:line="400" w:lineRule="exact"/>
        <w:ind w:firstLine="420"/>
        <w:jc w:val="both"/>
        <w:rPr>
          <w:rFonts w:hint="default" w:cs="宋体"/>
          <w:bCs/>
        </w:rPr>
      </w:pPr>
      <w:r>
        <w:rPr>
          <w:rFonts w:cs="宋体"/>
          <w:bCs/>
        </w:rPr>
        <w:t>2.评估质量保证（满分18分）</w:t>
      </w:r>
    </w:p>
    <w:p>
      <w:pPr>
        <w:pStyle w:val="25"/>
        <w:widowControl w:val="0"/>
        <w:spacing w:before="0" w:beforeAutospacing="0" w:after="0" w:afterAutospacing="0" w:line="400" w:lineRule="exact"/>
        <w:ind w:firstLine="420"/>
        <w:jc w:val="both"/>
        <w:rPr>
          <w:rFonts w:hint="default" w:cs="宋体"/>
          <w:bCs/>
        </w:rPr>
      </w:pPr>
      <w:r>
        <w:rPr>
          <w:rFonts w:cs="宋体"/>
          <w:bCs/>
        </w:rPr>
        <w:t>服务方案中应提供评估质量保证措施，未提供不得分。</w:t>
      </w:r>
    </w:p>
    <w:p>
      <w:pPr>
        <w:pStyle w:val="25"/>
        <w:widowControl w:val="0"/>
        <w:spacing w:before="0" w:beforeAutospacing="0" w:after="0" w:afterAutospacing="0" w:line="400" w:lineRule="exact"/>
        <w:ind w:firstLine="420"/>
        <w:jc w:val="both"/>
        <w:rPr>
          <w:rFonts w:hint="default" w:cs="宋体"/>
          <w:bCs/>
        </w:rPr>
      </w:pPr>
      <w:r>
        <w:rPr>
          <w:rFonts w:cs="宋体"/>
          <w:bCs/>
        </w:rPr>
        <w:t>一档（</w:t>
      </w:r>
      <w:r>
        <w:rPr>
          <w:rFonts w:hint="default" w:cs="宋体"/>
          <w:bCs/>
          <w:lang w:val="en-US"/>
        </w:rPr>
        <w:t>6</w:t>
      </w:r>
      <w:r>
        <w:rPr>
          <w:rFonts w:cs="宋体"/>
          <w:bCs/>
        </w:rPr>
        <w:t>分）：方案中具有相应的质量保证措施，基本满足采购方要求。</w:t>
      </w:r>
    </w:p>
    <w:p>
      <w:pPr>
        <w:pStyle w:val="25"/>
        <w:widowControl w:val="0"/>
        <w:spacing w:before="0" w:beforeAutospacing="0" w:after="0" w:afterAutospacing="0" w:line="400" w:lineRule="exact"/>
        <w:ind w:firstLine="420"/>
        <w:jc w:val="both"/>
        <w:rPr>
          <w:rFonts w:hint="default" w:cs="宋体"/>
          <w:bCs/>
        </w:rPr>
      </w:pPr>
      <w:r>
        <w:rPr>
          <w:rFonts w:cs="宋体"/>
          <w:bCs/>
        </w:rPr>
        <w:t>二档（</w:t>
      </w:r>
      <w:r>
        <w:rPr>
          <w:rFonts w:hint="default" w:cs="宋体"/>
          <w:bCs/>
          <w:lang w:val="en-US"/>
        </w:rPr>
        <w:t>12</w:t>
      </w:r>
      <w:r>
        <w:rPr>
          <w:rFonts w:cs="宋体"/>
          <w:bCs/>
        </w:rPr>
        <w:t>分）：方案中具有完整的质量保证措施、服务期限等，内容具体合理，具有可行性，能够满足采购方要求。</w:t>
      </w:r>
    </w:p>
    <w:p>
      <w:pPr>
        <w:pStyle w:val="25"/>
        <w:widowControl w:val="0"/>
        <w:spacing w:before="0" w:beforeAutospacing="0" w:after="0" w:afterAutospacing="0" w:line="400" w:lineRule="exact"/>
        <w:ind w:firstLine="420"/>
        <w:jc w:val="both"/>
        <w:rPr>
          <w:rFonts w:hint="default" w:cs="宋体"/>
          <w:bCs/>
        </w:rPr>
      </w:pPr>
      <w:r>
        <w:rPr>
          <w:rFonts w:cs="宋体"/>
          <w:bCs/>
        </w:rPr>
        <w:t>三档（</w:t>
      </w:r>
      <w:r>
        <w:rPr>
          <w:rFonts w:hint="default" w:cs="宋体"/>
          <w:bCs/>
          <w:lang w:val="en-US"/>
        </w:rPr>
        <w:t>18</w:t>
      </w:r>
      <w:r>
        <w:rPr>
          <w:rFonts w:cs="宋体"/>
          <w:bCs/>
        </w:rPr>
        <w:t>分）：方案中具有完整的质量保证措施、服务期限等，能够针对本项目提出具体的质量控制措施，可操作性强，满足采购方要求。</w:t>
      </w:r>
    </w:p>
    <w:p>
      <w:pPr>
        <w:pStyle w:val="25"/>
        <w:widowControl w:val="0"/>
        <w:spacing w:before="0" w:beforeAutospacing="0" w:after="0" w:afterAutospacing="0" w:line="400" w:lineRule="exact"/>
        <w:ind w:firstLine="420"/>
        <w:jc w:val="both"/>
        <w:rPr>
          <w:rFonts w:hint="default" w:cs="宋体"/>
          <w:bCs/>
        </w:rPr>
      </w:pPr>
      <w:r>
        <w:rPr>
          <w:rFonts w:cs="宋体"/>
          <w:bCs/>
        </w:rPr>
        <w:t>3.评估人员保障（满分12分）</w:t>
      </w:r>
    </w:p>
    <w:p>
      <w:pPr>
        <w:pStyle w:val="25"/>
        <w:widowControl w:val="0"/>
        <w:spacing w:before="0" w:beforeAutospacing="0" w:after="0" w:afterAutospacing="0" w:line="400" w:lineRule="exact"/>
        <w:ind w:firstLine="420"/>
        <w:jc w:val="both"/>
        <w:rPr>
          <w:rFonts w:hint="default" w:cs="宋体"/>
          <w:bCs/>
        </w:rPr>
      </w:pPr>
      <w:r>
        <w:rPr>
          <w:rFonts w:cs="宋体"/>
          <w:bCs/>
        </w:rPr>
        <w:t>服务方案中应提供人员安排、岗位分工及有关证书复印件、半年内任意</w:t>
      </w:r>
      <w:r>
        <w:rPr>
          <w:rFonts w:hint="eastAsia" w:cs="宋体"/>
          <w:bCs/>
          <w:lang w:val="en-US" w:eastAsia="zh-CN"/>
        </w:rPr>
        <w:t>1</w:t>
      </w:r>
      <w:r>
        <w:rPr>
          <w:rFonts w:cs="宋体"/>
          <w:bCs/>
        </w:rPr>
        <w:t>个月的社保证明等材料复印件并加盖供应商公章，未提供不得分。</w:t>
      </w:r>
    </w:p>
    <w:p>
      <w:pPr>
        <w:pStyle w:val="25"/>
        <w:widowControl w:val="0"/>
        <w:numPr>
          <w:ilvl w:val="255"/>
          <w:numId w:val="0"/>
        </w:numPr>
        <w:spacing w:before="0" w:beforeAutospacing="0" w:after="0" w:afterAutospacing="0" w:line="400" w:lineRule="exact"/>
        <w:ind w:firstLine="480" w:firstLineChars="200"/>
        <w:jc w:val="both"/>
        <w:rPr>
          <w:rFonts w:hint="default" w:cs="宋体"/>
          <w:bCs/>
        </w:rPr>
      </w:pPr>
      <w:r>
        <w:rPr>
          <w:rFonts w:cs="宋体"/>
          <w:bCs/>
        </w:rPr>
        <w:t>在满足项目负责人同时具有注册造价师证书、软件工程造价师证书的基础上，项目组其他人员具有注册造价师证书、咨询工程师（投资）证书、信息系统审计师（CISA）证书、软件工程造价师证书、软件架构设计师证书的，每具有1项得3分，最多得12分。（同一人同时具有多个证书不重复计分）</w:t>
      </w:r>
    </w:p>
    <w:p>
      <w:pPr>
        <w:pStyle w:val="25"/>
        <w:widowControl w:val="0"/>
        <w:spacing w:before="0" w:beforeAutospacing="0" w:after="0" w:afterAutospacing="0" w:line="400" w:lineRule="exact"/>
        <w:ind w:firstLine="420"/>
        <w:jc w:val="both"/>
        <w:rPr>
          <w:rFonts w:hint="default" w:cs="宋体"/>
          <w:b/>
        </w:rPr>
      </w:pPr>
      <w:r>
        <w:rPr>
          <w:rFonts w:cs="宋体"/>
          <w:b/>
        </w:rPr>
        <w:t>（</w:t>
      </w:r>
      <w:r>
        <w:rPr>
          <w:rFonts w:hint="eastAsia" w:cs="宋体"/>
          <w:b/>
          <w:lang w:eastAsia="zh-CN"/>
        </w:rPr>
        <w:t>三</w:t>
      </w:r>
      <w:r>
        <w:rPr>
          <w:rFonts w:cs="宋体"/>
          <w:b/>
        </w:rPr>
        <w:t>）商务分………………………………………………………………</w:t>
      </w:r>
      <w:r>
        <w:rPr>
          <w:rFonts w:hint="eastAsia" w:cs="宋体"/>
          <w:b/>
          <w:lang w:val="en-US" w:eastAsia="zh-CN"/>
        </w:rPr>
        <w:t>35</w:t>
      </w:r>
      <w:r>
        <w:rPr>
          <w:rFonts w:cs="宋体"/>
          <w:b/>
        </w:rPr>
        <w:t>分</w:t>
      </w:r>
    </w:p>
    <w:p>
      <w:pPr>
        <w:pStyle w:val="25"/>
        <w:widowControl w:val="0"/>
        <w:spacing w:before="0" w:beforeAutospacing="0" w:after="0" w:afterAutospacing="0" w:line="400" w:lineRule="exact"/>
        <w:ind w:firstLine="420"/>
        <w:jc w:val="both"/>
        <w:rPr>
          <w:rFonts w:hint="default" w:cs="宋体"/>
          <w:bCs/>
        </w:rPr>
      </w:pPr>
      <w:r>
        <w:rPr>
          <w:rFonts w:cs="宋体"/>
          <w:bCs/>
        </w:rPr>
        <w:t>1.供应商具有有效的工程咨询资信等级证书(业务：电子、信息工程（含通信、广电、信息化）)，甲级得8分，乙级得5分，没有不得分。满分8分。（提供证书复印件并加盖公章）</w:t>
      </w:r>
    </w:p>
    <w:p>
      <w:pPr>
        <w:pStyle w:val="25"/>
        <w:widowControl w:val="0"/>
        <w:spacing w:before="0" w:beforeAutospacing="0" w:after="0" w:afterAutospacing="0" w:line="400" w:lineRule="exact"/>
        <w:ind w:firstLine="420"/>
        <w:jc w:val="both"/>
        <w:rPr>
          <w:rFonts w:hint="default" w:cs="宋体"/>
          <w:bCs/>
        </w:rPr>
      </w:pPr>
      <w:r>
        <w:rPr>
          <w:rFonts w:cs="宋体"/>
          <w:bCs/>
        </w:rPr>
        <w:t>2.供应商具有有效期内的质量管理体系、信息技术服务管理体系、信息安全管理体系认证的，每具有1类得2分，满分</w:t>
      </w:r>
      <w:r>
        <w:rPr>
          <w:rFonts w:hint="eastAsia" w:cs="宋体"/>
          <w:bCs/>
          <w:lang w:val="en-US" w:eastAsia="zh-CN"/>
        </w:rPr>
        <w:t>6</w:t>
      </w:r>
      <w:r>
        <w:rPr>
          <w:rFonts w:cs="宋体"/>
          <w:bCs/>
        </w:rPr>
        <w:t>分。（提供在全国认可认证信息公共服务平台http://cx.cnca.cn/CertECloud/index/index/page查询为“有效”状态的截图以及认证复印件加盖公章为依据。）</w:t>
      </w:r>
    </w:p>
    <w:p>
      <w:pPr>
        <w:pStyle w:val="25"/>
        <w:widowControl w:val="0"/>
        <w:spacing w:before="0" w:beforeAutospacing="0" w:after="0" w:afterAutospacing="0" w:line="400" w:lineRule="exact"/>
        <w:ind w:firstLine="420"/>
        <w:jc w:val="both"/>
        <w:rPr>
          <w:rFonts w:hint="default" w:cs="宋体"/>
          <w:bCs/>
        </w:rPr>
      </w:pPr>
      <w:r>
        <w:rPr>
          <w:rFonts w:cs="宋体"/>
          <w:bCs/>
        </w:rPr>
        <w:t>3.供应商具有项目造价评估/审核业绩，获得政府部门对评估/审核工作考核良好及以上评价的，1个得4分，获得政府部门对评估/审核工作考核良好以下评价或未进行评价的，1个得3分。满分12分。（每个业绩不重复计取，提供合同复印件、考核证明，加盖公章）。</w:t>
      </w:r>
    </w:p>
    <w:p>
      <w:pPr>
        <w:pStyle w:val="25"/>
        <w:widowControl w:val="0"/>
        <w:spacing w:before="0" w:beforeAutospacing="0" w:after="0" w:afterAutospacing="0" w:line="400" w:lineRule="exact"/>
        <w:ind w:firstLine="420"/>
        <w:jc w:val="both"/>
        <w:rPr>
          <w:rFonts w:hint="default" w:cs="宋体"/>
          <w:bCs/>
        </w:rPr>
      </w:pPr>
      <w:r>
        <w:rPr>
          <w:rFonts w:cs="宋体"/>
          <w:bCs/>
        </w:rPr>
        <w:t>4.供应商具有信息化咨询项目业绩的，1个得</w:t>
      </w:r>
      <w:r>
        <w:rPr>
          <w:rFonts w:hint="eastAsia" w:cs="宋体"/>
          <w:bCs/>
          <w:lang w:val="en-US" w:eastAsia="zh-CN"/>
        </w:rPr>
        <w:t>2</w:t>
      </w:r>
      <w:r>
        <w:rPr>
          <w:rFonts w:cs="宋体"/>
          <w:bCs/>
        </w:rPr>
        <w:t>分，满分6分。（每个业绩不重复计取，提供合同复印件并加盖公章，须留客户联系方式备查）。</w:t>
      </w:r>
    </w:p>
    <w:p>
      <w:pPr>
        <w:pStyle w:val="25"/>
        <w:widowControl w:val="0"/>
        <w:spacing w:before="0" w:beforeAutospacing="0" w:after="0" w:afterAutospacing="0" w:line="400" w:lineRule="exact"/>
        <w:ind w:firstLine="420"/>
        <w:jc w:val="both"/>
        <w:rPr>
          <w:rFonts w:hint="default" w:cs="宋体"/>
          <w:bCs/>
        </w:rPr>
      </w:pPr>
      <w:r>
        <w:rPr>
          <w:rFonts w:cs="宋体"/>
          <w:bCs/>
        </w:rPr>
        <w:t>5.供应商在项目所在地设有固定办公场所或承诺中标后在项目所在地设立固定办公场所</w:t>
      </w:r>
      <w:r>
        <w:rPr>
          <w:rFonts w:hint="eastAsia" w:cs="宋体"/>
          <w:bCs/>
          <w:lang w:eastAsia="zh-CN"/>
        </w:rPr>
        <w:t>，</w:t>
      </w:r>
      <w:r>
        <w:rPr>
          <w:rFonts w:cs="宋体"/>
          <w:bCs/>
        </w:rPr>
        <w:t>并在本地配备专业技术人员，得</w:t>
      </w:r>
      <w:r>
        <w:rPr>
          <w:rFonts w:hint="eastAsia" w:cs="宋体"/>
          <w:bCs/>
          <w:lang w:val="en-US" w:eastAsia="zh-CN"/>
        </w:rPr>
        <w:t>3</w:t>
      </w:r>
      <w:r>
        <w:rPr>
          <w:rFonts w:cs="宋体"/>
          <w:bCs/>
        </w:rPr>
        <w:t>分。（提供房屋所有权证或租赁合同，没有固定场所的须提供承诺函原件，承诺在中标后在项目所在地设立固定办公场所，加盖公章）。</w:t>
      </w:r>
    </w:p>
    <w:p>
      <w:pPr>
        <w:pStyle w:val="15"/>
        <w:spacing w:line="400" w:lineRule="exact"/>
        <w:ind w:firstLine="482" w:firstLineChars="200"/>
        <w:rPr>
          <w:rFonts w:hAnsi="宋体" w:cs="宋体"/>
          <w:b/>
          <w:sz w:val="24"/>
          <w:szCs w:val="24"/>
        </w:rPr>
      </w:pPr>
      <w:r>
        <w:rPr>
          <w:rFonts w:hint="eastAsia" w:hAnsi="宋体" w:cs="宋体"/>
          <w:b/>
          <w:sz w:val="24"/>
          <w:szCs w:val="24"/>
        </w:rPr>
        <w:t>（</w:t>
      </w:r>
      <w:r>
        <w:rPr>
          <w:rFonts w:hint="eastAsia" w:hAnsi="宋体" w:cs="宋体"/>
          <w:b/>
          <w:sz w:val="24"/>
          <w:szCs w:val="24"/>
          <w:lang w:eastAsia="zh-CN"/>
        </w:rPr>
        <w:t>四</w:t>
      </w:r>
      <w:r>
        <w:rPr>
          <w:rFonts w:hint="eastAsia" w:hAnsi="宋体" w:cs="宋体"/>
          <w:b/>
          <w:sz w:val="24"/>
          <w:szCs w:val="24"/>
        </w:rPr>
        <w:t>）总得分=（一） + （二）+ （</w:t>
      </w:r>
      <w:r>
        <w:rPr>
          <w:rFonts w:hint="eastAsia" w:hAnsi="宋体" w:cs="宋体"/>
          <w:b/>
          <w:sz w:val="24"/>
          <w:szCs w:val="24"/>
          <w:lang w:eastAsia="zh-CN"/>
        </w:rPr>
        <w:t>三</w:t>
      </w:r>
      <w:r>
        <w:rPr>
          <w:rFonts w:hint="eastAsia" w:hAnsi="宋体" w:cs="宋体"/>
          <w:b/>
          <w:sz w:val="24"/>
          <w:szCs w:val="24"/>
        </w:rPr>
        <w:t>）。</w:t>
      </w:r>
    </w:p>
    <w:p>
      <w:pPr>
        <w:pStyle w:val="15"/>
        <w:spacing w:line="400" w:lineRule="exact"/>
        <w:ind w:firstLine="482" w:firstLineChars="200"/>
        <w:rPr>
          <w:rFonts w:hAnsi="宋体" w:cs="宋体"/>
          <w:b/>
          <w:bCs/>
          <w:sz w:val="24"/>
          <w:szCs w:val="24"/>
        </w:rPr>
      </w:pPr>
      <w:r>
        <w:rPr>
          <w:rFonts w:hint="eastAsia" w:hAnsi="宋体" w:cs="宋体"/>
          <w:b/>
          <w:bCs/>
          <w:sz w:val="24"/>
          <w:szCs w:val="24"/>
        </w:rPr>
        <w:t>四、成交候选人推荐原则</w:t>
      </w:r>
    </w:p>
    <w:p>
      <w:pPr>
        <w:pStyle w:val="11"/>
        <w:spacing w:line="400" w:lineRule="exact"/>
        <w:ind w:firstLine="480" w:firstLineChars="200"/>
        <w:rPr>
          <w:rFonts w:ascii="宋体" w:hAnsi="宋体" w:cs="宋体"/>
          <w:sz w:val="24"/>
        </w:rPr>
      </w:pPr>
      <w:r>
        <w:rPr>
          <w:rFonts w:hint="eastAsia" w:ascii="宋体" w:hAnsi="宋体" w:cs="宋体"/>
          <w:sz w:val="24"/>
        </w:rPr>
        <w:t>（一）评审小组按报价人的总得分由高到低</w:t>
      </w:r>
      <w:r>
        <w:rPr>
          <w:rFonts w:hint="eastAsia" w:ascii="宋体" w:hAnsi="宋体" w:cs="宋体"/>
          <w:sz w:val="24"/>
          <w:lang w:eastAsia="zh-CN"/>
        </w:rPr>
        <w:t>的顺序推荐</w:t>
      </w:r>
      <w:r>
        <w:rPr>
          <w:rFonts w:hint="eastAsia" w:ascii="宋体" w:hAnsi="宋体" w:cs="宋体"/>
          <w:sz w:val="24"/>
        </w:rPr>
        <w:t>成交候选人（总得分相同</w:t>
      </w:r>
      <w:r>
        <w:rPr>
          <w:rFonts w:hint="eastAsia" w:ascii="宋体" w:hAnsi="宋体" w:cs="宋体"/>
          <w:sz w:val="24"/>
          <w:lang w:eastAsia="zh-CN"/>
        </w:rPr>
        <w:t>的</w:t>
      </w:r>
      <w:r>
        <w:rPr>
          <w:rFonts w:hint="eastAsia" w:ascii="宋体" w:hAnsi="宋体" w:cs="宋体"/>
          <w:sz w:val="24"/>
        </w:rPr>
        <w:t>，按照最后报价</w:t>
      </w:r>
      <w:r>
        <w:rPr>
          <w:rFonts w:hint="eastAsia" w:ascii="宋体" w:hAnsi="宋体" w:cs="宋体"/>
          <w:sz w:val="24"/>
          <w:lang w:eastAsia="zh-CN"/>
        </w:rPr>
        <w:t>得分</w:t>
      </w:r>
      <w:r>
        <w:rPr>
          <w:rFonts w:hint="eastAsia" w:ascii="宋体" w:hAnsi="宋体" w:cs="宋体"/>
          <w:sz w:val="24"/>
        </w:rPr>
        <w:t>由低到高的顺序推荐。</w:t>
      </w:r>
      <w:r>
        <w:rPr>
          <w:rFonts w:hint="eastAsia" w:ascii="宋体" w:hAnsi="宋体" w:cs="宋体"/>
          <w:sz w:val="24"/>
          <w:lang w:eastAsia="zh-CN"/>
        </w:rPr>
        <w:t>总</w:t>
      </w:r>
      <w:r>
        <w:rPr>
          <w:rFonts w:hint="eastAsia" w:ascii="宋体" w:hAnsi="宋体" w:cs="宋体"/>
          <w:sz w:val="24"/>
        </w:rPr>
        <w:t>得分且最后报价</w:t>
      </w:r>
      <w:r>
        <w:rPr>
          <w:rFonts w:hint="eastAsia" w:ascii="宋体" w:hAnsi="宋体" w:cs="宋体"/>
          <w:sz w:val="24"/>
          <w:lang w:eastAsia="zh-CN"/>
        </w:rPr>
        <w:t>得分</w:t>
      </w:r>
      <w:r>
        <w:rPr>
          <w:rFonts w:hint="eastAsia" w:ascii="宋体" w:hAnsi="宋体" w:cs="宋体"/>
          <w:sz w:val="24"/>
        </w:rPr>
        <w:t>相同的，按照技术</w:t>
      </w:r>
      <w:r>
        <w:rPr>
          <w:rFonts w:hint="eastAsia" w:ascii="宋体" w:hAnsi="宋体" w:cs="宋体"/>
          <w:sz w:val="24"/>
          <w:lang w:eastAsia="zh-CN"/>
        </w:rPr>
        <w:t>得分由高到低的</w:t>
      </w:r>
      <w:r>
        <w:rPr>
          <w:rFonts w:hint="eastAsia" w:ascii="宋体" w:hAnsi="宋体" w:cs="宋体"/>
          <w:sz w:val="24"/>
        </w:rPr>
        <w:t>顺序</w:t>
      </w:r>
      <w:r>
        <w:rPr>
          <w:rFonts w:hint="eastAsia" w:ascii="宋体" w:hAnsi="宋体" w:cs="宋体"/>
          <w:sz w:val="24"/>
          <w:lang w:eastAsia="zh-CN"/>
        </w:rPr>
        <w:t>推荐）</w:t>
      </w:r>
      <w:r>
        <w:rPr>
          <w:rFonts w:hint="eastAsia" w:ascii="宋体" w:hAnsi="宋体" w:cs="宋体"/>
          <w:sz w:val="24"/>
        </w:rPr>
        <w:t>。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采购人也可以重新组织采购。</w:t>
      </w:r>
    </w:p>
    <w:p>
      <w:pPr>
        <w:spacing w:line="400" w:lineRule="exact"/>
        <w:ind w:firstLine="480" w:firstLineChars="200"/>
        <w:rPr>
          <w:rFonts w:ascii="宋体" w:hAnsi="宋体" w:cs="宋体"/>
          <w:sz w:val="24"/>
        </w:rPr>
      </w:pPr>
      <w:r>
        <w:rPr>
          <w:rFonts w:hint="eastAsia" w:ascii="宋体" w:hAnsi="宋体" w:cs="宋体"/>
          <w:sz w:val="24"/>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rPr>
      </w:pPr>
      <w:r>
        <w:rPr>
          <w:rFonts w:hint="eastAsia" w:ascii="宋体" w:hAnsi="宋体" w:cs="宋体"/>
          <w:bCs/>
          <w:sz w:val="24"/>
        </w:rPr>
        <w:br w:type="page"/>
      </w:r>
    </w:p>
    <w:p>
      <w:pPr>
        <w:spacing w:line="500" w:lineRule="exact"/>
        <w:ind w:firstLine="3534" w:firstLineChars="1100"/>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5"/>
        <w:snapToGrid w:val="0"/>
        <w:spacing w:before="120" w:after="120"/>
        <w:outlineLvl w:val="0"/>
        <w:rPr>
          <w:rFonts w:ascii="Times New Roman" w:hAnsi="Times New Roman" w:eastAsia="仿宋"/>
          <w:b/>
          <w:sz w:val="24"/>
          <w:szCs w:val="24"/>
        </w:rPr>
      </w:pPr>
      <w:bookmarkStart w:id="3" w:name="_Toc326217565"/>
      <w:bookmarkStart w:id="4" w:name="_Toc293863061"/>
      <w:bookmarkStart w:id="5" w:name="_Toc301424939"/>
      <w:bookmarkStart w:id="6" w:name="_Toc293863331"/>
      <w:r>
        <w:rPr>
          <w:rFonts w:ascii="Times New Roman" w:hAnsi="Times New Roman" w:eastAsia="仿宋"/>
          <w:b/>
          <w:sz w:val="24"/>
          <w:szCs w:val="24"/>
        </w:rPr>
        <w:t>一、响应文件外层包装封面及响应文件外封面格式</w:t>
      </w:r>
      <w:bookmarkEnd w:id="3"/>
      <w:bookmarkEnd w:id="4"/>
      <w:bookmarkEnd w:id="5"/>
      <w:bookmarkEnd w:id="6"/>
    </w:p>
    <w:p>
      <w:pPr>
        <w:snapToGrid w:val="0"/>
        <w:spacing w:before="120" w:beforeLines="50" w:after="50"/>
        <w:rPr>
          <w:rFonts w:eastAsia="仿宋"/>
          <w:b/>
          <w:sz w:val="24"/>
        </w:rPr>
      </w:pPr>
      <w:bookmarkStart w:id="7" w:name="_Toc293863062"/>
      <w:bookmarkStart w:id="8" w:name="_Toc293863332"/>
    </w:p>
    <w:p>
      <w:pPr>
        <w:pStyle w:val="15"/>
        <w:snapToGrid w:val="0"/>
        <w:spacing w:before="120" w:after="120"/>
        <w:outlineLvl w:val="0"/>
        <w:rPr>
          <w:rFonts w:ascii="Times New Roman" w:hAnsi="Times New Roman" w:eastAsia="仿宋"/>
          <w:b/>
          <w:sz w:val="24"/>
          <w:szCs w:val="24"/>
        </w:rPr>
      </w:pPr>
      <w:bookmarkStart w:id="9" w:name="_Toc326217566"/>
      <w:bookmarkStart w:id="10" w:name="_Toc301424940"/>
      <w:r>
        <w:rPr>
          <w:rFonts w:ascii="Times New Roman" w:hAnsi="Times New Roman" w:eastAsia="仿宋"/>
          <w:b/>
          <w:sz w:val="24"/>
          <w:szCs w:val="24"/>
        </w:rPr>
        <w:t>1.所有响应文件的外包装封面格式（格式可自拟）：</w:t>
      </w:r>
      <w:bookmarkEnd w:id="7"/>
      <w:bookmarkEnd w:id="8"/>
      <w:bookmarkEnd w:id="9"/>
      <w:bookmarkEnd w:id="10"/>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
          <w:bCs/>
          <w:sz w:val="52"/>
          <w:szCs w:val="52"/>
        </w:rPr>
      </w:pPr>
      <w:r>
        <w:rPr>
          <w:rFonts w:eastAsia="仿宋"/>
          <w:b/>
          <w:bCs/>
          <w:sz w:val="52"/>
          <w:szCs w:val="52"/>
        </w:rPr>
        <w:t>响应文件</w:t>
      </w:r>
    </w:p>
    <w:p>
      <w:pPr>
        <w:snapToGrid w:val="0"/>
        <w:spacing w:before="120" w:beforeLines="50" w:after="50"/>
        <w:rPr>
          <w:rFonts w:eastAsia="仿宋"/>
          <w:bCs/>
          <w:sz w:val="24"/>
          <w:szCs w:val="20"/>
        </w:rPr>
      </w:pPr>
    </w:p>
    <w:p>
      <w:pPr>
        <w:snapToGrid w:val="0"/>
        <w:spacing w:before="12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120" w:beforeLines="50" w:after="50"/>
        <w:ind w:firstLine="1100" w:firstLineChars="393"/>
        <w:rPr>
          <w:rFonts w:eastAsia="仿宋"/>
          <w:bCs/>
          <w:sz w:val="28"/>
          <w:szCs w:val="28"/>
        </w:rPr>
      </w:pPr>
      <w:r>
        <w:rPr>
          <w:rFonts w:eastAsia="仿宋"/>
          <w:bCs/>
          <w:sz w:val="28"/>
          <w:szCs w:val="28"/>
        </w:rPr>
        <w:t xml:space="preserve">     </w:t>
      </w:r>
    </w:p>
    <w:p>
      <w:pPr>
        <w:pStyle w:val="6"/>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6"/>
        <w:snapToGrid w:val="0"/>
        <w:spacing w:before="50" w:after="50"/>
        <w:ind w:firstLine="1164" w:firstLineChars="416"/>
        <w:rPr>
          <w:rFonts w:eastAsia="仿宋"/>
          <w:bCs/>
          <w:sz w:val="28"/>
          <w:szCs w:val="28"/>
        </w:rPr>
      </w:pPr>
    </w:p>
    <w:p>
      <w:pPr>
        <w:pStyle w:val="6"/>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6"/>
        <w:snapToGrid w:val="0"/>
        <w:spacing w:before="50" w:after="50"/>
        <w:ind w:firstLine="1120" w:firstLineChars="400"/>
        <w:rPr>
          <w:rFonts w:eastAsia="仿宋"/>
          <w:bCs/>
          <w:sz w:val="28"/>
          <w:szCs w:val="28"/>
        </w:rPr>
      </w:pPr>
    </w:p>
    <w:p>
      <w:pPr>
        <w:snapToGrid w:val="0"/>
        <w:spacing w:before="120" w:beforeLines="50" w:after="50"/>
        <w:ind w:firstLine="4760" w:firstLineChars="1700"/>
        <w:rPr>
          <w:rFonts w:eastAsia="仿宋"/>
          <w:bCs/>
          <w:sz w:val="28"/>
          <w:szCs w:val="28"/>
        </w:rPr>
      </w:pPr>
    </w:p>
    <w:p>
      <w:pPr>
        <w:snapToGrid w:val="0"/>
        <w:spacing w:before="120" w:beforeLines="50" w:after="50"/>
        <w:ind w:firstLine="645"/>
        <w:jc w:val="center"/>
        <w:rPr>
          <w:rFonts w:eastAsia="仿宋"/>
          <w:bCs/>
          <w:sz w:val="28"/>
          <w:szCs w:val="28"/>
        </w:rPr>
      </w:pPr>
      <w:r>
        <w:rPr>
          <w:rFonts w:eastAsia="仿宋"/>
          <w:bCs/>
          <w:sz w:val="28"/>
          <w:szCs w:val="28"/>
        </w:rPr>
        <w:t xml:space="preserve">                        年  月  日</w:t>
      </w:r>
    </w:p>
    <w:p>
      <w:pPr>
        <w:snapToGrid w:val="0"/>
        <w:spacing w:before="120" w:beforeLines="50" w:after="50"/>
        <w:ind w:firstLine="645"/>
        <w:rPr>
          <w:rFonts w:eastAsia="仿宋"/>
          <w:bCs/>
          <w:sz w:val="24"/>
        </w:rPr>
      </w:pPr>
    </w:p>
    <w:p>
      <w:pPr>
        <w:pStyle w:val="15"/>
        <w:snapToGrid w:val="0"/>
        <w:spacing w:before="120" w:after="120"/>
        <w:outlineLvl w:val="0"/>
        <w:rPr>
          <w:rFonts w:ascii="Times New Roman" w:hAnsi="Times New Roman" w:eastAsia="仿宋"/>
          <w:b/>
          <w:sz w:val="24"/>
          <w:szCs w:val="24"/>
        </w:rPr>
      </w:pPr>
      <w:r>
        <w:rPr>
          <w:rFonts w:ascii="Times New Roman" w:hAnsi="Times New Roman" w:eastAsia="仿宋"/>
          <w:b/>
        </w:rPr>
        <w:br w:type="page"/>
      </w:r>
      <w:bookmarkStart w:id="11" w:name="_Toc326217567"/>
      <w:bookmarkStart w:id="12" w:name="_Toc301424941"/>
      <w:r>
        <w:rPr>
          <w:rFonts w:ascii="Times New Roman" w:hAnsi="Times New Roman" w:eastAsia="仿宋"/>
          <w:b/>
          <w:sz w:val="24"/>
          <w:szCs w:val="24"/>
        </w:rPr>
        <w:t>2.响应文件外封面格式（格式可自拟）：</w:t>
      </w:r>
      <w:bookmarkEnd w:id="11"/>
      <w:bookmarkEnd w:id="12"/>
    </w:p>
    <w:p>
      <w:pPr>
        <w:snapToGrid w:val="0"/>
        <w:spacing w:before="120" w:beforeLines="50" w:after="50"/>
        <w:ind w:firstLine="8160" w:firstLineChars="3400"/>
        <w:rPr>
          <w:rFonts w:eastAsia="仿宋"/>
          <w:bCs/>
          <w:sz w:val="24"/>
        </w:rPr>
      </w:pPr>
      <w:r>
        <w:rPr>
          <w:rFonts w:eastAsia="仿宋"/>
          <w:bCs/>
          <w:sz w:val="24"/>
        </w:rPr>
        <w:t>正本/或副本</w:t>
      </w:r>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Cs/>
          <w:sz w:val="24"/>
          <w:szCs w:val="20"/>
        </w:rPr>
      </w:pPr>
      <w:r>
        <w:rPr>
          <w:rFonts w:eastAsia="仿宋"/>
          <w:b/>
          <w:bCs/>
          <w:sz w:val="52"/>
          <w:szCs w:val="52"/>
        </w:rPr>
        <w:t>响应文件</w:t>
      </w:r>
    </w:p>
    <w:p>
      <w:pPr>
        <w:snapToGrid w:val="0"/>
        <w:spacing w:before="120" w:beforeLines="50" w:after="50"/>
        <w:ind w:firstLine="943" w:firstLineChars="393"/>
        <w:rPr>
          <w:rFonts w:eastAsia="仿宋"/>
          <w:bCs/>
          <w:sz w:val="24"/>
        </w:rPr>
      </w:pPr>
    </w:p>
    <w:p>
      <w:pPr>
        <w:snapToGrid w:val="0"/>
        <w:spacing w:before="12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120" w:beforeLines="50" w:after="50"/>
        <w:ind w:firstLine="943" w:firstLineChars="393"/>
        <w:rPr>
          <w:rFonts w:eastAsia="仿宋"/>
          <w:bCs/>
          <w:sz w:val="24"/>
        </w:rPr>
      </w:pPr>
      <w:r>
        <w:rPr>
          <w:rFonts w:eastAsia="仿宋"/>
          <w:bCs/>
          <w:sz w:val="24"/>
        </w:rPr>
        <w:t xml:space="preserve">     </w:t>
      </w:r>
    </w:p>
    <w:p>
      <w:pPr>
        <w:pStyle w:val="6"/>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6"/>
        <w:snapToGrid w:val="0"/>
        <w:spacing w:before="50" w:after="50"/>
        <w:ind w:firstLine="998" w:firstLineChars="416"/>
        <w:rPr>
          <w:rFonts w:eastAsia="仿宋"/>
          <w:bCs/>
          <w:sz w:val="24"/>
        </w:rPr>
      </w:pPr>
    </w:p>
    <w:p>
      <w:pPr>
        <w:pStyle w:val="6"/>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6"/>
        <w:snapToGrid w:val="0"/>
        <w:spacing w:before="50" w:after="50"/>
        <w:ind w:firstLine="960" w:firstLineChars="400"/>
        <w:rPr>
          <w:rFonts w:eastAsia="仿宋"/>
          <w:bCs/>
          <w:sz w:val="24"/>
        </w:rPr>
      </w:pPr>
    </w:p>
    <w:p>
      <w:pPr>
        <w:pStyle w:val="6"/>
        <w:snapToGrid w:val="0"/>
        <w:spacing w:before="50" w:after="50"/>
        <w:ind w:firstLine="960" w:firstLineChars="400"/>
        <w:rPr>
          <w:rFonts w:eastAsia="仿宋"/>
          <w:bCs/>
          <w:sz w:val="24"/>
        </w:rPr>
      </w:pPr>
    </w:p>
    <w:p>
      <w:pPr>
        <w:snapToGrid w:val="0"/>
        <w:spacing w:before="120" w:beforeLines="50" w:after="50"/>
        <w:ind w:firstLine="4080" w:firstLineChars="1700"/>
        <w:rPr>
          <w:rFonts w:eastAsia="仿宋"/>
          <w:bCs/>
          <w:sz w:val="24"/>
          <w:szCs w:val="20"/>
        </w:rPr>
      </w:pPr>
    </w:p>
    <w:p>
      <w:pPr>
        <w:snapToGrid w:val="0"/>
        <w:spacing w:before="120" w:beforeLines="50" w:after="50"/>
        <w:ind w:firstLine="645"/>
        <w:jc w:val="center"/>
        <w:rPr>
          <w:rFonts w:eastAsia="仿宋"/>
          <w:bCs/>
          <w:sz w:val="24"/>
        </w:rPr>
      </w:pPr>
      <w:r>
        <w:rPr>
          <w:rFonts w:eastAsia="仿宋"/>
          <w:bCs/>
          <w:sz w:val="24"/>
        </w:rPr>
        <w:t xml:space="preserve">                        年  月  日</w:t>
      </w:r>
    </w:p>
    <w:p>
      <w:pPr>
        <w:snapToGrid w:val="0"/>
        <w:spacing w:before="120" w:beforeLines="50" w:after="50"/>
        <w:ind w:firstLine="645"/>
        <w:rPr>
          <w:rFonts w:eastAsia="仿宋"/>
          <w:bCs/>
          <w:sz w:val="24"/>
        </w:rPr>
      </w:pPr>
    </w:p>
    <w:p>
      <w:pPr>
        <w:snapToGrid w:val="0"/>
        <w:spacing w:before="120" w:beforeLines="50" w:after="50"/>
        <w:ind w:firstLine="645"/>
        <w:rPr>
          <w:rFonts w:eastAsia="仿宋"/>
          <w:bCs/>
          <w:sz w:val="24"/>
        </w:rPr>
      </w:pPr>
    </w:p>
    <w:p>
      <w:pPr>
        <w:snapToGrid w:val="0"/>
        <w:spacing w:before="120" w:beforeLines="50" w:after="50"/>
        <w:outlineLvl w:val="1"/>
        <w:rPr>
          <w:rFonts w:eastAsia="仿宋"/>
          <w:b/>
          <w:bCs/>
          <w:sz w:val="24"/>
        </w:rPr>
      </w:pPr>
      <w:r>
        <w:rPr>
          <w:rFonts w:eastAsia="仿宋"/>
          <w:bCs/>
          <w:sz w:val="24"/>
        </w:rPr>
        <w:br w:type="page"/>
      </w:r>
      <w:bookmarkStart w:id="13" w:name="_Toc293863333"/>
      <w:bookmarkStart w:id="14" w:name="_Toc301424942"/>
      <w:bookmarkStart w:id="15" w:name="_Toc293863063"/>
      <w:bookmarkStart w:id="16" w:name="_Toc326217568"/>
      <w:bookmarkStart w:id="17" w:name="_Toc254970698"/>
      <w:bookmarkStart w:id="18" w:name="_Toc254970557"/>
      <w:r>
        <w:rPr>
          <w:rFonts w:eastAsia="仿宋"/>
          <w:b/>
          <w:bCs/>
          <w:sz w:val="24"/>
        </w:rPr>
        <w:t>二、资信/商务文件格式</w:t>
      </w:r>
      <w:bookmarkEnd w:id="13"/>
      <w:bookmarkEnd w:id="14"/>
      <w:bookmarkEnd w:id="15"/>
      <w:bookmarkEnd w:id="16"/>
      <w:bookmarkEnd w:id="17"/>
      <w:bookmarkEnd w:id="18"/>
    </w:p>
    <w:p>
      <w:pPr>
        <w:snapToGrid w:val="0"/>
        <w:spacing w:before="50" w:after="50"/>
        <w:rPr>
          <w:rFonts w:eastAsia="仿宋"/>
          <w:b/>
          <w:sz w:val="24"/>
        </w:rPr>
      </w:pPr>
    </w:p>
    <w:p>
      <w:pPr>
        <w:snapToGrid w:val="0"/>
        <w:spacing w:before="50" w:after="50"/>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12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6"/>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6"/>
        <w:snapToGrid w:val="0"/>
        <w:spacing w:line="400" w:lineRule="exact"/>
        <w:ind w:firstLine="998" w:firstLineChars="416"/>
        <w:rPr>
          <w:rFonts w:eastAsia="仿宋"/>
          <w:bCs/>
          <w:sz w:val="24"/>
        </w:rPr>
      </w:pPr>
    </w:p>
    <w:p>
      <w:pPr>
        <w:pStyle w:val="6"/>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20" w:beforeLines="50" w:after="50"/>
        <w:ind w:firstLine="960" w:firstLineChars="400"/>
        <w:rPr>
          <w:rFonts w:eastAsia="仿宋"/>
          <w:bCs/>
          <w:sz w:val="24"/>
          <w:szCs w:val="20"/>
        </w:rPr>
      </w:pPr>
    </w:p>
    <w:p>
      <w:pPr>
        <w:snapToGrid w:val="0"/>
        <w:spacing w:before="120" w:beforeLines="50" w:after="50"/>
        <w:rPr>
          <w:rFonts w:eastAsia="仿宋"/>
          <w:sz w:val="24"/>
          <w:szCs w:val="20"/>
        </w:rPr>
      </w:pPr>
    </w:p>
    <w:p>
      <w:pPr>
        <w:snapToGrid w:val="0"/>
        <w:spacing w:line="400" w:lineRule="exact"/>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2</w:t>
      </w:r>
      <w:r>
        <w:rPr>
          <w:rFonts w:eastAsia="仿宋"/>
          <w:color w:val="000000"/>
          <w:sz w:val="24"/>
        </w:rPr>
        <w:t>）</w:t>
      </w:r>
      <w:r>
        <w:rPr>
          <w:rFonts w:eastAsia="仿宋"/>
          <w:sz w:val="24"/>
        </w:rPr>
        <w:t>有效的营业执照副本复印件</w:t>
      </w:r>
      <w:r>
        <w:rPr>
          <w:rFonts w:hint="eastAsia" w:eastAsia="仿宋"/>
          <w:sz w:val="24"/>
        </w:rPr>
        <w:t>加盖单位公章</w:t>
      </w:r>
      <w:r>
        <w:rPr>
          <w:rFonts w:eastAsia="仿宋"/>
          <w:sz w:val="24"/>
        </w:rPr>
        <w:t>（对于有经营资质要求的，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3</w:t>
      </w:r>
      <w:r>
        <w:rPr>
          <w:rFonts w:eastAsia="仿宋"/>
          <w:color w:val="000000"/>
          <w:sz w:val="24"/>
        </w:rPr>
        <w:t>）有效的法定代表人（负责人）身份证正反面复印件</w:t>
      </w:r>
      <w:r>
        <w:rPr>
          <w:rFonts w:hint="eastAsia" w:eastAsia="仿宋"/>
          <w:color w:val="000000"/>
          <w:sz w:val="24"/>
        </w:rPr>
        <w:t>加盖单位公章</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r>
        <w:rPr>
          <w:rFonts w:hint="eastAsia" w:eastAsia="仿宋"/>
          <w:sz w:val="24"/>
        </w:rPr>
        <w:t>加盖单位公章</w:t>
      </w:r>
    </w:p>
    <w:p>
      <w:pPr>
        <w:snapToGrid w:val="0"/>
        <w:spacing w:line="400" w:lineRule="exact"/>
        <w:ind w:firstLine="480" w:firstLineChars="200"/>
        <w:jc w:val="left"/>
        <w:rPr>
          <w:rFonts w:hint="eastAsia" w:eastAsia="仿宋"/>
          <w:sz w:val="24"/>
          <w:lang w:eastAsia="zh-CN"/>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r>
        <w:rPr>
          <w:rFonts w:hint="eastAsia" w:eastAsia="仿宋"/>
          <w:sz w:val="24"/>
        </w:rPr>
        <w:t>（无纳税记录的，应提供由报价人所在地主管税务部门出具的《依法纳税或依法免税证明》；注册时间不足6个月的公司（以营业执照上注册时间为准），则提供公司成立后任意一个月的有效依法缴纳税费或依法免缴税费或依法在办缴税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r>
        <w:rPr>
          <w:rFonts w:hint="eastAsia" w:eastAsia="仿宋"/>
          <w:sz w:val="24"/>
        </w:rPr>
        <w:t>（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w:t>
      </w:r>
      <w:r>
        <w:rPr>
          <w:rFonts w:hint="eastAsia" w:eastAsia="仿宋"/>
          <w:sz w:val="24"/>
          <w:lang w:val="en-US" w:eastAsia="zh-CN"/>
        </w:rPr>
        <w:t>1</w:t>
      </w:r>
      <w:r>
        <w:rPr>
          <w:rFonts w:hint="eastAsia" w:eastAsia="仿宋"/>
          <w:sz w:val="24"/>
        </w:rPr>
        <w:t>个月报价人为项目实施人员缴纳的社保证明</w:t>
      </w:r>
    </w:p>
    <w:p>
      <w:pPr>
        <w:numPr>
          <w:ilvl w:val="0"/>
          <w:numId w:val="3"/>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（13）报价人的类似成功案例的业绩证明文件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u w:val="single"/>
        </w:rPr>
        <w:t>广西壮族自治区信息中心项目造价第三方评估服务</w:t>
      </w:r>
      <w:r>
        <w:rPr>
          <w:rFonts w:hint="eastAsia" w:eastAsia="仿宋"/>
          <w:sz w:val="24"/>
        </w:rPr>
        <w:t>项目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3"/>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有效的营业执照副本复印件并加盖公章；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38"/>
      </w:pPr>
    </w:p>
    <w:p>
      <w:pPr>
        <w:spacing w:line="400" w:lineRule="exact"/>
        <w:jc w:val="center"/>
        <w:rPr>
          <w:rFonts w:eastAsia="仿宋"/>
          <w:b/>
          <w:spacing w:val="6"/>
          <w:sz w:val="32"/>
          <w:szCs w:val="32"/>
        </w:rPr>
      </w:pPr>
    </w:p>
    <w:p>
      <w:pPr>
        <w:pStyle w:val="38"/>
      </w:pPr>
    </w:p>
    <w:p>
      <w:pPr>
        <w:spacing w:line="400" w:lineRule="exact"/>
        <w:jc w:val="center"/>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u w:val="single"/>
        </w:rPr>
        <w:t>广西壮族自治区信息中心项目造价第三方评估服务</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w:t>
      </w:r>
      <w:r>
        <w:rPr>
          <w:rFonts w:hint="eastAsia" w:eastAsia="仿宋"/>
          <w:b/>
          <w:sz w:val="24"/>
        </w:rPr>
        <w:t>税务</w:t>
      </w:r>
      <w:r>
        <w:rPr>
          <w:rFonts w:eastAsia="仿宋"/>
          <w:b/>
          <w:sz w:val="24"/>
        </w:rPr>
        <w:t>部门出具的《依法纳税或依法免税证明》；</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w:t>
      </w:r>
      <w:r>
        <w:rPr>
          <w:rFonts w:hint="eastAsia" w:eastAsia="仿宋"/>
          <w:b/>
          <w:sz w:val="24"/>
          <w:lang w:val="en-US" w:eastAsia="zh-CN"/>
        </w:rPr>
        <w:t>1</w:t>
      </w:r>
      <w:r>
        <w:rPr>
          <w:rFonts w:hint="eastAsia" w:eastAsia="仿宋"/>
          <w:b/>
          <w:sz w:val="24"/>
        </w:rPr>
        <w:t>个月报价人为项目实施人员缴纳的社保证明（社保证明必须经报价人所在地的社保部门盖章确认，依法不参与社保的人员，应出具相关的证明文件；复印件加盖单位公章；）</w:t>
      </w:r>
    </w:p>
    <w:p>
      <w:pPr>
        <w:pStyle w:val="38"/>
      </w:pPr>
    </w:p>
    <w:p>
      <w:pPr>
        <w:pStyle w:val="38"/>
      </w:pPr>
    </w:p>
    <w:p>
      <w:pPr>
        <w:numPr>
          <w:ilvl w:val="0"/>
          <w:numId w:val="4"/>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4"/>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27"/>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r>
        <w:rPr>
          <w:rFonts w:hint="eastAsia" w:eastAsia="仿宋"/>
          <w:b/>
          <w:sz w:val="24"/>
        </w:rPr>
        <w:t>，加盖单位公章</w:t>
      </w:r>
      <w:r>
        <w:rPr>
          <w:rFonts w:eastAsia="仿宋"/>
          <w:b/>
          <w:sz w:val="24"/>
        </w:rPr>
        <w:t>）</w:t>
      </w:r>
    </w:p>
    <w:p>
      <w:pPr>
        <w:snapToGrid w:val="0"/>
        <w:spacing w:line="400" w:lineRule="exact"/>
        <w:jc w:val="left"/>
        <w:rPr>
          <w:rFonts w:eastAsia="仿宋"/>
          <w:b/>
          <w:sz w:val="24"/>
        </w:rPr>
      </w:pPr>
    </w:p>
    <w:p>
      <w:pPr>
        <w:sectPr>
          <w:footerReference r:id="rId11" w:type="default"/>
          <w:pgSz w:w="11906" w:h="16838"/>
          <w:pgMar w:top="1134" w:right="1134" w:bottom="1134" w:left="1134" w:header="851" w:footer="992" w:gutter="0"/>
          <w:cols w:space="720" w:num="1"/>
          <w:docGrid w:linePitch="312" w:charSpace="0"/>
        </w:sectPr>
      </w:pPr>
    </w:p>
    <w:p>
      <w:pPr>
        <w:pStyle w:val="13"/>
      </w:pPr>
    </w:p>
    <w:p>
      <w:pPr>
        <w:pStyle w:val="38"/>
      </w:pPr>
    </w:p>
    <w:p>
      <w:pPr>
        <w:pStyle w:val="38"/>
        <w:snapToGrid w:val="0"/>
        <w:spacing w:line="400" w:lineRule="exact"/>
        <w:rPr>
          <w:rFonts w:eastAsia="仿宋"/>
          <w:b/>
        </w:rPr>
      </w:pPr>
      <w:r>
        <w:rPr>
          <w:rFonts w:hint="eastAsia" w:eastAsia="仿宋"/>
          <w:b/>
        </w:rPr>
        <w:t>（13）报价人的类似成功案例的业绩证明文件：</w:t>
      </w:r>
    </w:p>
    <w:p>
      <w:pPr>
        <w:pStyle w:val="22"/>
        <w:snapToGrid w:val="0"/>
        <w:spacing w:line="400" w:lineRule="exact"/>
        <w:ind w:left="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有效合同复印件并加盖单位公章</w:t>
      </w:r>
      <w:r>
        <w:rPr>
          <w:rFonts w:eastAsia="仿宋"/>
          <w:sz w:val="24"/>
        </w:rPr>
        <w:t>，格式可自拟）</w:t>
      </w:r>
    </w:p>
    <w:tbl>
      <w:tblPr>
        <w:tblStyle w:val="27"/>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38"/>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38"/>
        <w:rPr>
          <w:rFonts w:eastAsia="仿宋"/>
        </w:rPr>
      </w:pPr>
    </w:p>
    <w:p>
      <w:pPr>
        <w:pStyle w:val="22"/>
        <w:snapToGrid w:val="0"/>
        <w:spacing w:line="400" w:lineRule="exact"/>
        <w:ind w:left="480" w:hanging="480"/>
        <w:rPr>
          <w:rFonts w:eastAsia="仿宋"/>
          <w:sz w:val="24"/>
        </w:rPr>
      </w:pPr>
    </w:p>
    <w:p>
      <w:pPr>
        <w:pStyle w:val="38"/>
        <w:rPr>
          <w:rFonts w:eastAsia="仿宋"/>
        </w:rPr>
        <w:sectPr>
          <w:pgSz w:w="16838" w:h="11906" w:orient="landscape"/>
          <w:pgMar w:top="1134" w:right="1134" w:bottom="1134" w:left="1134" w:header="851" w:footer="992" w:gutter="0"/>
          <w:cols w:space="720" w:num="1"/>
          <w:docGrid w:linePitch="312" w:charSpace="0"/>
        </w:sectPr>
      </w:pPr>
    </w:p>
    <w:p>
      <w:pPr>
        <w:widowControl/>
        <w:jc w:val="left"/>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6"/>
        <w:snapToGrid w:val="0"/>
        <w:spacing w:line="400" w:lineRule="exact"/>
        <w:ind w:firstLine="998" w:firstLineChars="416"/>
        <w:rPr>
          <w:rFonts w:eastAsia="仿宋"/>
          <w:bCs/>
          <w:sz w:val="24"/>
        </w:rPr>
      </w:pPr>
    </w:p>
    <w:p>
      <w:pPr>
        <w:pStyle w:val="6"/>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6"/>
        <w:snapToGrid w:val="0"/>
        <w:spacing w:line="400" w:lineRule="exact"/>
        <w:ind w:firstLine="998" w:firstLineChars="416"/>
        <w:rPr>
          <w:rFonts w:eastAsia="仿宋"/>
          <w:bCs/>
          <w:sz w:val="24"/>
        </w:rPr>
      </w:pPr>
    </w:p>
    <w:p>
      <w:pPr>
        <w:pStyle w:val="6"/>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eastAsia="仿宋"/>
          <w:sz w:val="24"/>
        </w:rPr>
        <w:t>（1）技术响应表</w:t>
      </w:r>
    </w:p>
    <w:p>
      <w:pPr>
        <w:snapToGrid w:val="0"/>
        <w:spacing w:line="400" w:lineRule="exact"/>
        <w:jc w:val="left"/>
        <w:rPr>
          <w:rFonts w:eastAsia="仿宋"/>
          <w:sz w:val="24"/>
        </w:rPr>
      </w:pPr>
      <w:r>
        <w:rPr>
          <w:rFonts w:eastAsia="仿宋"/>
          <w:sz w:val="24"/>
        </w:rPr>
        <w:t>（2）</w:t>
      </w:r>
      <w:r>
        <w:rPr>
          <w:rFonts w:hint="eastAsia" w:eastAsia="仿宋"/>
          <w:sz w:val="24"/>
        </w:rPr>
        <w:t>服务</w:t>
      </w:r>
      <w:r>
        <w:rPr>
          <w:rFonts w:eastAsia="仿宋"/>
          <w:sz w:val="24"/>
        </w:rPr>
        <w:t>方案</w:t>
      </w:r>
    </w:p>
    <w:p>
      <w:pPr>
        <w:pStyle w:val="13"/>
        <w:jc w:val="left"/>
      </w:pPr>
      <w:r>
        <w:rPr>
          <w:rFonts w:eastAsia="仿宋"/>
          <w:sz w:val="24"/>
        </w:rPr>
        <w:t>（3）项目实施人员一览表</w:t>
      </w:r>
    </w:p>
    <w:p>
      <w:pPr>
        <w:pStyle w:val="38"/>
      </w:pPr>
      <w:r>
        <w:rPr>
          <w:rFonts w:eastAsia="仿宋"/>
          <w:b/>
        </w:rPr>
        <w:t>可作为</w:t>
      </w:r>
      <w:r>
        <w:rPr>
          <w:rFonts w:hint="eastAsia" w:eastAsia="仿宋"/>
          <w:b/>
        </w:rPr>
        <w:t>报价人</w:t>
      </w:r>
      <w:r>
        <w:rPr>
          <w:rFonts w:eastAsia="仿宋"/>
          <w:b/>
        </w:rPr>
        <w:t>技术评分的材料（</w:t>
      </w:r>
      <w:r>
        <w:rPr>
          <w:rFonts w:hint="eastAsia" w:eastAsia="仿宋"/>
          <w:b/>
        </w:rPr>
        <w:t>报价人</w:t>
      </w:r>
      <w:r>
        <w:rPr>
          <w:rFonts w:eastAsia="仿宋"/>
          <w:b/>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rPr>
        <w:t>4</w:t>
      </w:r>
      <w:r>
        <w:rPr>
          <w:rFonts w:eastAsia="仿宋"/>
          <w:sz w:val="24"/>
        </w:rPr>
        <w:t>）</w:t>
      </w:r>
      <w:r>
        <w:rPr>
          <w:rFonts w:hint="eastAsia" w:eastAsia="仿宋"/>
          <w:sz w:val="24"/>
        </w:rPr>
        <w:t>报价人认为需要提供的其他证明材料</w:t>
      </w:r>
    </w:p>
    <w:p>
      <w:pPr>
        <w:snapToGrid w:val="0"/>
        <w:spacing w:line="400" w:lineRule="exact"/>
        <w:jc w:val="left"/>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27"/>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19" w:name="_Toc254970558"/>
            <w:bookmarkStart w:id="20" w:name="_Toc254970699"/>
            <w:r>
              <w:rPr>
                <w:rFonts w:eastAsia="仿宋"/>
                <w:spacing w:val="20"/>
                <w:sz w:val="24"/>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559"/>
            <w:bookmarkStart w:id="22" w:name="_Toc254970700"/>
            <w:r>
              <w:rPr>
                <w:rFonts w:eastAsia="仿宋"/>
                <w:spacing w:val="20"/>
                <w:sz w:val="24"/>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outlineLvl w:val="0"/>
              <w:rPr>
                <w:rFonts w:ascii="Times New Roman" w:hAnsi="Times New Roman" w:eastAsia="仿宋"/>
                <w:spacing w:val="20"/>
                <w:kern w:val="2"/>
                <w:sz w:val="24"/>
                <w:szCs w:val="24"/>
              </w:rPr>
            </w:pPr>
            <w:bookmarkStart w:id="23" w:name="_Toc301424943"/>
            <w:bookmarkStart w:id="24" w:name="_Toc293863334"/>
            <w:bookmarkStart w:id="25" w:name="_Toc326217569"/>
            <w:bookmarkStart w:id="26" w:name="_Toc254970701"/>
            <w:bookmarkStart w:id="27" w:name="_Toc254970560"/>
            <w:bookmarkStart w:id="28" w:name="_Toc293863064"/>
            <w:r>
              <w:rPr>
                <w:rFonts w:ascii="Times New Roman" w:hAnsi="Times New Roman" w:eastAsia="仿宋"/>
                <w:spacing w:val="20"/>
                <w:kern w:val="2"/>
                <w:sz w:val="24"/>
                <w:szCs w:val="24"/>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2"/>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5"/>
        </w:numPr>
        <w:snapToGrid w:val="0"/>
        <w:spacing w:line="400" w:lineRule="exact"/>
        <w:jc w:val="left"/>
        <w:rPr>
          <w:rFonts w:eastAsia="仿宋"/>
          <w:b/>
          <w:sz w:val="24"/>
        </w:rPr>
      </w:pPr>
      <w:r>
        <w:rPr>
          <w:rFonts w:hint="eastAsia" w:eastAsia="仿宋"/>
          <w:b/>
          <w:sz w:val="24"/>
        </w:rPr>
        <w:t>服务</w:t>
      </w:r>
      <w:r>
        <w:rPr>
          <w:rFonts w:eastAsia="仿宋"/>
          <w:b/>
          <w:sz w:val="24"/>
        </w:rPr>
        <w:t>方案（格式自拟）</w:t>
      </w:r>
    </w:p>
    <w:p>
      <w:pPr>
        <w:snapToGrid w:val="0"/>
        <w:spacing w:line="400" w:lineRule="exact"/>
        <w:jc w:val="left"/>
        <w:rPr>
          <w:rFonts w:eastAsia="仿宋"/>
          <w:b/>
          <w:sz w:val="24"/>
        </w:rPr>
      </w:pPr>
    </w:p>
    <w:p>
      <w:pPr>
        <w:pStyle w:val="38"/>
        <w:rPr>
          <w:rFonts w:eastAsia="仿宋"/>
          <w:b/>
        </w:rPr>
      </w:pPr>
    </w:p>
    <w:p>
      <w:pPr>
        <w:pStyle w:val="38"/>
        <w:rPr>
          <w:rFonts w:eastAsia="仿宋"/>
          <w:b/>
        </w:rPr>
      </w:pPr>
      <w:r>
        <w:rPr>
          <w:rFonts w:hint="eastAsia" w:eastAsia="仿宋"/>
          <w:b/>
        </w:rPr>
        <w:t>（3）项目实施人员一览表</w:t>
      </w:r>
    </w:p>
    <w:p>
      <w:pPr>
        <w:spacing w:before="312" w:beforeLines="100" w:after="468" w:afterLines="150" w:line="320" w:lineRule="exact"/>
        <w:jc w:val="center"/>
        <w:rPr>
          <w:rFonts w:ascii="宋体" w:hAnsi="宋体"/>
          <w:b/>
          <w:sz w:val="32"/>
          <w:szCs w:val="32"/>
        </w:rPr>
      </w:pPr>
      <w:r>
        <w:rPr>
          <w:rFonts w:hint="eastAsia" w:ascii="宋体" w:hAnsi="宋体"/>
          <w:b/>
          <w:sz w:val="32"/>
          <w:szCs w:val="32"/>
        </w:rPr>
        <w:t>项目实施人员一览表（格式）</w:t>
      </w:r>
    </w:p>
    <w:tbl>
      <w:tblPr>
        <w:tblStyle w:val="27"/>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9"/>
              <w:spacing w:before="182"/>
              <w:jc w:val="center"/>
              <w:rPr>
                <w:sz w:val="24"/>
              </w:rPr>
            </w:pPr>
            <w:r>
              <w:rPr>
                <w:sz w:val="24"/>
              </w:rPr>
              <w:t>姓名</w:t>
            </w:r>
          </w:p>
        </w:tc>
        <w:tc>
          <w:tcPr>
            <w:tcW w:w="1129" w:type="dxa"/>
            <w:vAlign w:val="center"/>
          </w:tcPr>
          <w:p>
            <w:pPr>
              <w:pStyle w:val="79"/>
              <w:spacing w:before="182"/>
              <w:jc w:val="center"/>
              <w:rPr>
                <w:sz w:val="24"/>
              </w:rPr>
            </w:pPr>
            <w:r>
              <w:rPr>
                <w:sz w:val="24"/>
              </w:rPr>
              <w:t>职务</w:t>
            </w:r>
          </w:p>
        </w:tc>
        <w:tc>
          <w:tcPr>
            <w:tcW w:w="2050" w:type="dxa"/>
            <w:vAlign w:val="center"/>
          </w:tcPr>
          <w:p>
            <w:pPr>
              <w:pStyle w:val="79"/>
              <w:spacing w:before="182"/>
              <w:jc w:val="center"/>
              <w:rPr>
                <w:sz w:val="24"/>
              </w:rPr>
            </w:pPr>
            <w:r>
              <w:rPr>
                <w:rFonts w:hint="eastAsia"/>
                <w:sz w:val="24"/>
              </w:rPr>
              <w:t>职称</w:t>
            </w:r>
            <w:r>
              <w:rPr>
                <w:rFonts w:hint="eastAsia"/>
                <w:sz w:val="24"/>
                <w:lang w:val="en-US"/>
              </w:rPr>
              <w:t>/</w:t>
            </w:r>
            <w:r>
              <w:rPr>
                <w:sz w:val="24"/>
              </w:rPr>
              <w:t>专业技术资格</w:t>
            </w:r>
          </w:p>
        </w:tc>
        <w:tc>
          <w:tcPr>
            <w:tcW w:w="1235" w:type="dxa"/>
            <w:vAlign w:val="center"/>
          </w:tcPr>
          <w:p>
            <w:pPr>
              <w:pStyle w:val="79"/>
              <w:spacing w:before="182"/>
              <w:jc w:val="center"/>
              <w:rPr>
                <w:sz w:val="24"/>
              </w:rPr>
            </w:pPr>
            <w:r>
              <w:rPr>
                <w:sz w:val="24"/>
              </w:rPr>
              <w:t>证书编号</w:t>
            </w:r>
          </w:p>
        </w:tc>
        <w:tc>
          <w:tcPr>
            <w:tcW w:w="2550" w:type="dxa"/>
            <w:vAlign w:val="center"/>
          </w:tcPr>
          <w:p>
            <w:pPr>
              <w:pStyle w:val="79"/>
              <w:spacing w:before="182"/>
              <w:jc w:val="center"/>
              <w:rPr>
                <w:sz w:val="24"/>
              </w:rPr>
            </w:pPr>
            <w:r>
              <w:rPr>
                <w:sz w:val="24"/>
              </w:rPr>
              <w:t>参加本单位工作时间</w:t>
            </w:r>
          </w:p>
        </w:tc>
        <w:tc>
          <w:tcPr>
            <w:tcW w:w="901" w:type="dxa"/>
            <w:vAlign w:val="center"/>
          </w:tcPr>
          <w:p>
            <w:pPr>
              <w:pStyle w:val="79"/>
              <w:spacing w:before="182"/>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rPr>
          <w:rFonts w:ascii="宋体" w:hAnsi="宋体"/>
          <w:bCs/>
          <w:szCs w:val="21"/>
        </w:rPr>
      </w:pPr>
      <w:r>
        <w:rPr>
          <w:rFonts w:ascii="宋体" w:hAnsi="宋体"/>
          <w:bCs/>
          <w:szCs w:val="21"/>
        </w:rPr>
        <w:t>2</w:t>
      </w:r>
      <w:r>
        <w:rPr>
          <w:rFonts w:hint="eastAsia" w:ascii="宋体" w:hAnsi="宋体"/>
          <w:bCs/>
          <w:szCs w:val="21"/>
        </w:rPr>
        <w:t>、</w:t>
      </w:r>
      <w:r>
        <w:rPr>
          <w:rFonts w:hint="eastAsia" w:ascii="宋体" w:hAnsi="宋体"/>
          <w:szCs w:val="21"/>
        </w:rPr>
        <w:t>提供上述人员相关证书等证明材料，并加盖供应商公章。</w:t>
      </w:r>
    </w:p>
    <w:p>
      <w:pPr>
        <w:spacing w:line="300" w:lineRule="auto"/>
        <w:ind w:firstLine="630" w:firstLineChars="300"/>
        <w:rPr>
          <w:rFonts w:ascii="宋体" w:hAnsi="宋体"/>
          <w:szCs w:val="21"/>
        </w:rPr>
      </w:pPr>
      <w:r>
        <w:rPr>
          <w:rFonts w:hint="eastAsia" w:ascii="宋体" w:hAnsi="宋体"/>
          <w:bCs/>
          <w:szCs w:val="21"/>
        </w:rPr>
        <w:t>3、</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38"/>
      </w:pPr>
    </w:p>
    <w:p>
      <w:pPr>
        <w:pStyle w:val="38"/>
      </w:pPr>
    </w:p>
    <w:p>
      <w:pPr>
        <w:pStyle w:val="15"/>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rPr>
          <w:rFonts w:eastAsia="仿宋"/>
          <w:b/>
          <w:sz w:val="24"/>
        </w:rPr>
      </w:pPr>
      <w:r>
        <w:rPr>
          <w:rFonts w:eastAsia="仿宋"/>
          <w:b/>
          <w:bCs/>
          <w:sz w:val="24"/>
        </w:rPr>
        <w:br w:type="page"/>
      </w:r>
      <w:r>
        <w:rPr>
          <w:rFonts w:eastAsia="仿宋"/>
          <w:b/>
          <w:bCs/>
          <w:sz w:val="24"/>
        </w:rPr>
        <w:t>四、报价文件格式</w:t>
      </w:r>
    </w:p>
    <w:p>
      <w:pPr>
        <w:widowControl/>
        <w:jc w:val="left"/>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6"/>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6"/>
        <w:snapToGrid w:val="0"/>
        <w:spacing w:line="400" w:lineRule="exact"/>
        <w:ind w:firstLine="998" w:firstLineChars="416"/>
        <w:rPr>
          <w:rFonts w:eastAsia="仿宋"/>
          <w:bCs/>
          <w:sz w:val="24"/>
        </w:rPr>
      </w:pPr>
    </w:p>
    <w:p>
      <w:pPr>
        <w:pStyle w:val="6"/>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u w:val="single"/>
        </w:rPr>
        <w:t>广西壮族自治区信息中心项目造价第三方评估服务</w:t>
      </w:r>
      <w:r>
        <w:rPr>
          <w:rFonts w:hint="eastAsia" w:eastAsia="仿宋"/>
          <w:sz w:val="24"/>
        </w:rPr>
        <w:t>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rPr>
        <w:t>二</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r>
        <w:rPr>
          <w:rFonts w:eastAsia="仿宋"/>
          <w:b/>
          <w:sz w:val="24"/>
        </w:rPr>
        <w:br w:type="page"/>
      </w:r>
      <w:r>
        <w:rPr>
          <w:rFonts w:eastAsia="仿宋"/>
          <w:b/>
          <w:sz w:val="24"/>
        </w:rPr>
        <w:t>3.报价表格式：</w:t>
      </w:r>
    </w:p>
    <w:p>
      <w:pPr>
        <w:pStyle w:val="15"/>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ascii="仿宋_GB2312" w:hAnsi="仿宋_GB2312" w:eastAsia="仿宋_GB2312" w:cs="仿宋_GB2312"/>
          <w:sz w:val="24"/>
        </w:rPr>
      </w:pPr>
      <w:r>
        <w:rPr>
          <w:rFonts w:eastAsia="仿宋"/>
          <w:sz w:val="24"/>
        </w:rPr>
        <w:t xml:space="preserve">                                </w:t>
      </w:r>
    </w:p>
    <w:tbl>
      <w:tblPr>
        <w:tblStyle w:val="2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45"/>
        <w:gridCol w:w="2854"/>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560" w:lineRule="exact"/>
              <w:jc w:val="center"/>
              <w:rPr>
                <w:rFonts w:eastAsia="仿宋_GB2312"/>
                <w:sz w:val="24"/>
              </w:rPr>
            </w:pPr>
            <w:r>
              <w:rPr>
                <w:rFonts w:hint="eastAsia" w:eastAsia="仿宋_GB2312"/>
                <w:sz w:val="24"/>
              </w:rPr>
              <w:t>序号</w:t>
            </w:r>
          </w:p>
        </w:tc>
        <w:tc>
          <w:tcPr>
            <w:tcW w:w="3945" w:type="dxa"/>
          </w:tcPr>
          <w:p>
            <w:pPr>
              <w:spacing w:line="560" w:lineRule="exact"/>
              <w:jc w:val="center"/>
              <w:rPr>
                <w:rFonts w:eastAsia="仿宋_GB2312"/>
                <w:sz w:val="24"/>
              </w:rPr>
            </w:pPr>
            <w:r>
              <w:rPr>
                <w:rFonts w:hint="eastAsia" w:eastAsia="仿宋_GB2312"/>
                <w:sz w:val="24"/>
              </w:rPr>
              <w:t>项目规模（以最后核定后为准）</w:t>
            </w:r>
          </w:p>
        </w:tc>
        <w:tc>
          <w:tcPr>
            <w:tcW w:w="2854" w:type="dxa"/>
          </w:tcPr>
          <w:p>
            <w:pPr>
              <w:spacing w:line="560" w:lineRule="exact"/>
              <w:jc w:val="center"/>
              <w:rPr>
                <w:rFonts w:eastAsia="仿宋_GB2312"/>
                <w:sz w:val="24"/>
              </w:rPr>
            </w:pPr>
            <w:r>
              <w:rPr>
                <w:rFonts w:hint="eastAsia" w:eastAsia="仿宋_GB2312"/>
                <w:sz w:val="24"/>
              </w:rPr>
              <w:t>参考取费标准</w:t>
            </w:r>
          </w:p>
        </w:tc>
        <w:tc>
          <w:tcPr>
            <w:tcW w:w="2412" w:type="dxa"/>
          </w:tcPr>
          <w:p>
            <w:pPr>
              <w:spacing w:line="560" w:lineRule="exact"/>
              <w:jc w:val="center"/>
              <w:rPr>
                <w:rFonts w:eastAsia="仿宋_GB2312"/>
                <w:sz w:val="24"/>
              </w:rPr>
            </w:pPr>
            <w:r>
              <w:rPr>
                <w:rFonts w:hint="eastAsia" w:eastAsia="仿宋_GB2312"/>
                <w:sz w:val="24"/>
                <w:lang w:eastAsia="zh-CN"/>
              </w:rPr>
              <w:t>取费标准优惠率</w:t>
            </w:r>
            <w:r>
              <w:rPr>
                <w:rFonts w:hint="eastAsia" w:eastAsia="仿宋_GB2312"/>
                <w:sz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560" w:lineRule="exact"/>
              <w:jc w:val="center"/>
              <w:rPr>
                <w:rFonts w:eastAsia="仿宋_GB2312"/>
                <w:sz w:val="24"/>
              </w:rPr>
            </w:pPr>
            <w:r>
              <w:rPr>
                <w:rFonts w:hint="eastAsia" w:eastAsia="仿宋_GB2312"/>
                <w:sz w:val="24"/>
              </w:rPr>
              <w:t>1</w:t>
            </w:r>
          </w:p>
        </w:tc>
        <w:tc>
          <w:tcPr>
            <w:tcW w:w="3945" w:type="dxa"/>
          </w:tcPr>
          <w:p>
            <w:pPr>
              <w:spacing w:line="560" w:lineRule="exact"/>
              <w:rPr>
                <w:rFonts w:eastAsia="仿宋_GB2312"/>
                <w:sz w:val="24"/>
              </w:rPr>
            </w:pPr>
            <w:r>
              <w:rPr>
                <w:rFonts w:hint="eastAsia" w:eastAsia="仿宋_GB2312"/>
                <w:sz w:val="24"/>
              </w:rPr>
              <w:t>50万元以下（含50万）</w:t>
            </w:r>
          </w:p>
        </w:tc>
        <w:tc>
          <w:tcPr>
            <w:tcW w:w="2854" w:type="dxa"/>
          </w:tcPr>
          <w:p>
            <w:pPr>
              <w:spacing w:line="560" w:lineRule="exact"/>
              <w:rPr>
                <w:rFonts w:eastAsia="仿宋_GB2312"/>
                <w:sz w:val="24"/>
              </w:rPr>
            </w:pPr>
            <w:r>
              <w:rPr>
                <w:rFonts w:hint="eastAsia" w:eastAsia="仿宋_GB2312"/>
                <w:sz w:val="24"/>
              </w:rPr>
              <w:t>5000元</w:t>
            </w:r>
          </w:p>
        </w:tc>
        <w:tc>
          <w:tcPr>
            <w:tcW w:w="2412" w:type="dxa"/>
            <w:vMerge w:val="restart"/>
            <w:vAlign w:val="center"/>
          </w:tcPr>
          <w:p>
            <w:pPr>
              <w:spacing w:line="5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560" w:lineRule="exact"/>
              <w:jc w:val="center"/>
              <w:rPr>
                <w:rFonts w:eastAsia="仿宋_GB2312"/>
                <w:sz w:val="24"/>
              </w:rPr>
            </w:pPr>
            <w:r>
              <w:rPr>
                <w:rFonts w:hint="eastAsia" w:eastAsia="仿宋_GB2312"/>
                <w:sz w:val="24"/>
              </w:rPr>
              <w:t>2</w:t>
            </w:r>
          </w:p>
        </w:tc>
        <w:tc>
          <w:tcPr>
            <w:tcW w:w="3945" w:type="dxa"/>
          </w:tcPr>
          <w:p>
            <w:pPr>
              <w:spacing w:line="560" w:lineRule="exact"/>
              <w:rPr>
                <w:rFonts w:eastAsia="仿宋_GB2312"/>
                <w:sz w:val="24"/>
              </w:rPr>
            </w:pPr>
            <w:r>
              <w:rPr>
                <w:rFonts w:hint="eastAsia" w:eastAsia="仿宋_GB2312"/>
                <w:sz w:val="24"/>
              </w:rPr>
              <w:t>50万—100万元（含100万）</w:t>
            </w:r>
          </w:p>
        </w:tc>
        <w:tc>
          <w:tcPr>
            <w:tcW w:w="2854" w:type="dxa"/>
          </w:tcPr>
          <w:p>
            <w:pPr>
              <w:spacing w:line="560" w:lineRule="exact"/>
              <w:rPr>
                <w:rFonts w:eastAsia="仿宋_GB2312"/>
                <w:sz w:val="24"/>
              </w:rPr>
            </w:pPr>
            <w:r>
              <w:rPr>
                <w:rFonts w:hint="eastAsia" w:eastAsia="仿宋_GB2312"/>
                <w:sz w:val="24"/>
              </w:rPr>
              <w:t>7000元</w:t>
            </w:r>
          </w:p>
        </w:tc>
        <w:tc>
          <w:tcPr>
            <w:tcW w:w="2412" w:type="dxa"/>
            <w:vMerge w:val="continue"/>
          </w:tcPr>
          <w:p>
            <w:pPr>
              <w:spacing w:line="560" w:lineRule="exact"/>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560" w:lineRule="exact"/>
              <w:jc w:val="center"/>
              <w:rPr>
                <w:rFonts w:eastAsia="仿宋_GB2312"/>
                <w:sz w:val="24"/>
              </w:rPr>
            </w:pPr>
            <w:r>
              <w:rPr>
                <w:rFonts w:hint="eastAsia" w:eastAsia="仿宋_GB2312"/>
                <w:sz w:val="24"/>
              </w:rPr>
              <w:t>3</w:t>
            </w:r>
          </w:p>
        </w:tc>
        <w:tc>
          <w:tcPr>
            <w:tcW w:w="3945" w:type="dxa"/>
          </w:tcPr>
          <w:p>
            <w:pPr>
              <w:spacing w:line="560" w:lineRule="exact"/>
              <w:rPr>
                <w:rFonts w:eastAsia="仿宋_GB2312"/>
                <w:sz w:val="24"/>
              </w:rPr>
            </w:pPr>
            <w:r>
              <w:rPr>
                <w:rFonts w:hint="eastAsia" w:eastAsia="仿宋_GB2312"/>
                <w:sz w:val="24"/>
              </w:rPr>
              <w:t>100万—200万元（含200万）</w:t>
            </w:r>
          </w:p>
        </w:tc>
        <w:tc>
          <w:tcPr>
            <w:tcW w:w="2854" w:type="dxa"/>
          </w:tcPr>
          <w:p>
            <w:pPr>
              <w:spacing w:line="560" w:lineRule="exact"/>
              <w:rPr>
                <w:rFonts w:eastAsia="仿宋_GB2312"/>
                <w:sz w:val="24"/>
              </w:rPr>
            </w:pPr>
            <w:r>
              <w:rPr>
                <w:rFonts w:hint="eastAsia" w:eastAsia="仿宋_GB2312"/>
                <w:sz w:val="24"/>
              </w:rPr>
              <w:t>9000元</w:t>
            </w:r>
          </w:p>
        </w:tc>
        <w:tc>
          <w:tcPr>
            <w:tcW w:w="2412" w:type="dxa"/>
            <w:vMerge w:val="continue"/>
          </w:tcPr>
          <w:p>
            <w:pPr>
              <w:spacing w:line="560" w:lineRule="exact"/>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line="560" w:lineRule="exact"/>
              <w:jc w:val="center"/>
              <w:rPr>
                <w:rFonts w:eastAsia="仿宋_GB2312"/>
                <w:sz w:val="24"/>
              </w:rPr>
            </w:pPr>
            <w:r>
              <w:rPr>
                <w:rFonts w:hint="eastAsia" w:eastAsia="仿宋_GB2312"/>
                <w:sz w:val="24"/>
              </w:rPr>
              <w:t>4</w:t>
            </w:r>
          </w:p>
        </w:tc>
        <w:tc>
          <w:tcPr>
            <w:tcW w:w="3945" w:type="dxa"/>
          </w:tcPr>
          <w:p>
            <w:pPr>
              <w:spacing w:line="560" w:lineRule="exact"/>
              <w:rPr>
                <w:rFonts w:eastAsia="仿宋_GB2312"/>
                <w:sz w:val="24"/>
              </w:rPr>
            </w:pPr>
            <w:r>
              <w:rPr>
                <w:rFonts w:hint="eastAsia" w:eastAsia="仿宋_GB2312"/>
                <w:sz w:val="24"/>
              </w:rPr>
              <w:t>200万元以上项目</w:t>
            </w:r>
          </w:p>
        </w:tc>
        <w:tc>
          <w:tcPr>
            <w:tcW w:w="2854" w:type="dxa"/>
          </w:tcPr>
          <w:p>
            <w:pPr>
              <w:spacing w:line="560" w:lineRule="exact"/>
              <w:rPr>
                <w:rFonts w:eastAsia="仿宋_GB2312"/>
                <w:sz w:val="24"/>
              </w:rPr>
            </w:pPr>
            <w:r>
              <w:rPr>
                <w:rFonts w:hint="eastAsia" w:eastAsia="仿宋_GB2312"/>
                <w:sz w:val="24"/>
              </w:rPr>
              <w:t>按</w:t>
            </w:r>
            <w:r>
              <w:rPr>
                <w:rFonts w:hint="eastAsia" w:eastAsia="仿宋_GB2312"/>
                <w:sz w:val="24"/>
                <w:lang w:eastAsia="zh-CN"/>
              </w:rPr>
              <w:t>核定</w:t>
            </w:r>
            <w:r>
              <w:rPr>
                <w:rFonts w:hint="eastAsia" w:eastAsia="仿宋_GB2312"/>
                <w:sz w:val="24"/>
              </w:rPr>
              <w:t>金额的0.6%计</w:t>
            </w:r>
          </w:p>
        </w:tc>
        <w:tc>
          <w:tcPr>
            <w:tcW w:w="2412" w:type="dxa"/>
            <w:vMerge w:val="continue"/>
          </w:tcPr>
          <w:p>
            <w:pPr>
              <w:spacing w:line="560" w:lineRule="exact"/>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1" w:type="dxa"/>
            <w:gridSpan w:val="2"/>
          </w:tcPr>
          <w:p>
            <w:pPr>
              <w:spacing w:line="560" w:lineRule="exact"/>
              <w:jc w:val="center"/>
              <w:rPr>
                <w:rFonts w:eastAsia="仿宋_GB2312"/>
                <w:sz w:val="24"/>
              </w:rPr>
            </w:pPr>
            <w:r>
              <w:rPr>
                <w:rFonts w:hint="eastAsia" w:eastAsia="仿宋_GB2312"/>
                <w:sz w:val="24"/>
              </w:rPr>
              <w:t>服务期限</w:t>
            </w:r>
          </w:p>
        </w:tc>
        <w:tc>
          <w:tcPr>
            <w:tcW w:w="5266" w:type="dxa"/>
            <w:gridSpan w:val="2"/>
          </w:tcPr>
          <w:p>
            <w:pPr>
              <w:spacing w:line="560" w:lineRule="exact"/>
              <w:rPr>
                <w:rFonts w:eastAsia="仿宋_GB2312"/>
                <w:sz w:val="24"/>
              </w:rPr>
            </w:pPr>
          </w:p>
        </w:tc>
      </w:tr>
    </w:tbl>
    <w:p>
      <w:pPr>
        <w:pStyle w:val="2"/>
        <w:ind w:firstLine="480"/>
        <w:rPr>
          <w:rFonts w:eastAsia="仿宋"/>
          <w:sz w:val="24"/>
        </w:rPr>
      </w:pPr>
    </w:p>
    <w:p>
      <w:pPr>
        <w:pStyle w:val="2"/>
        <w:ind w:firstLine="480"/>
        <w:rPr>
          <w:rFonts w:eastAsia="仿宋"/>
          <w:sz w:val="24"/>
        </w:rPr>
      </w:pPr>
    </w:p>
    <w:p>
      <w:pPr>
        <w:pStyle w:val="2"/>
        <w:ind w:firstLine="48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lang w:eastAsia="zh-CN"/>
        </w:rPr>
        <w:t>取费标准</w:t>
      </w:r>
      <w:r>
        <w:rPr>
          <w:rFonts w:hint="eastAsia" w:eastAsia="仿宋"/>
          <w:sz w:val="24"/>
        </w:rPr>
        <w:t>优惠率=（采购人参考</w:t>
      </w:r>
      <w:r>
        <w:rPr>
          <w:rFonts w:hint="eastAsia" w:eastAsia="仿宋"/>
          <w:sz w:val="24"/>
          <w:lang w:eastAsia="zh-CN"/>
        </w:rPr>
        <w:t>取费标准</w:t>
      </w:r>
      <w:r>
        <w:rPr>
          <w:rFonts w:hint="eastAsia" w:eastAsia="仿宋"/>
          <w:sz w:val="24"/>
          <w:lang w:val="en-US" w:eastAsia="zh-CN"/>
        </w:rPr>
        <w:t>-</w:t>
      </w:r>
      <w:r>
        <w:rPr>
          <w:rFonts w:hint="eastAsia" w:eastAsia="仿宋"/>
          <w:sz w:val="24"/>
        </w:rPr>
        <w:t>投标人报价</w:t>
      </w:r>
      <w:r>
        <w:rPr>
          <w:rFonts w:hint="eastAsia" w:eastAsia="仿宋"/>
          <w:sz w:val="24"/>
          <w:lang w:eastAsia="zh-CN"/>
        </w:rPr>
        <w:t>取费标准</w:t>
      </w:r>
      <w:r>
        <w:rPr>
          <w:rFonts w:hint="eastAsia" w:eastAsia="仿宋"/>
          <w:sz w:val="24"/>
        </w:rPr>
        <w:t>）/采购人参考</w:t>
      </w:r>
      <w:r>
        <w:rPr>
          <w:rFonts w:hint="eastAsia" w:eastAsia="仿宋"/>
          <w:sz w:val="24"/>
          <w:lang w:eastAsia="zh-CN"/>
        </w:rPr>
        <w:t>取费标准</w:t>
      </w:r>
      <w:r>
        <w:rPr>
          <w:rFonts w:hint="eastAsia" w:eastAsia="仿宋"/>
          <w:sz w:val="24"/>
        </w:rPr>
        <w:t>*100%</w:t>
      </w:r>
      <w:r>
        <w:rPr>
          <w:rFonts w:eastAsia="仿宋"/>
          <w:sz w:val="24"/>
        </w:rPr>
        <w:t>。</w:t>
      </w:r>
    </w:p>
    <w:p>
      <w:pPr>
        <w:numPr>
          <w:ilvl w:val="0"/>
          <w:numId w:val="6"/>
        </w:numPr>
        <w:snapToGrid w:val="0"/>
        <w:spacing w:line="400" w:lineRule="exact"/>
        <w:ind w:firstLine="465"/>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rPr>
      </w:pPr>
      <w:bookmarkStart w:id="29" w:name="_GoBack"/>
      <w:bookmarkEnd w:id="29"/>
    </w:p>
    <w:p>
      <w:pPr>
        <w:pStyle w:val="15"/>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5"/>
        <w:spacing w:line="288" w:lineRule="auto"/>
        <w:jc w:val="left"/>
        <w:rPr>
          <w:rFonts w:hAnsi="宋体"/>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B8BAF4A-5975-4853-9AD8-4379F35F203F}"/>
  </w:font>
  <w:font w:name="Arial">
    <w:panose1 w:val="020B0604020202020204"/>
    <w:charset w:val="01"/>
    <w:family w:val="swiss"/>
    <w:pitch w:val="default"/>
    <w:sig w:usb0="E0002AFF" w:usb1="C0007843" w:usb2="00000009" w:usb3="00000000" w:csb0="400001FF" w:csb1="FFFF0000"/>
    <w:embedRegular r:id="rId2" w:fontKey="{8909C7CF-8562-44C1-BCBD-A9C5179E60A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8A22C67-73A7-4C0F-AB04-6D7F31A27E7D}"/>
  </w:font>
  <w:font w:name="Symbol">
    <w:panose1 w:val="05050102010706020507"/>
    <w:charset w:val="02"/>
    <w:family w:val="roman"/>
    <w:pitch w:val="default"/>
    <w:sig w:usb0="00000000" w:usb1="00000000" w:usb2="00000000" w:usb3="00000000" w:csb0="80000000" w:csb1="00000000"/>
    <w:embedRegular r:id="rId4" w:fontKey="{1FBBA7D6-4E6F-4D8C-8273-26B6EA428D19}"/>
  </w:font>
  <w:font w:name="Calibri">
    <w:panose1 w:val="020F0502020204030204"/>
    <w:charset w:val="00"/>
    <w:family w:val="swiss"/>
    <w:pitch w:val="default"/>
    <w:sig w:usb0="E00002FF" w:usb1="4000ACFF" w:usb2="00000001" w:usb3="00000000" w:csb0="2000019F" w:csb1="00000000"/>
    <w:embedRegular r:id="rId5" w:fontKey="{900C181B-42F3-48D8-87ED-42E62900C098}"/>
  </w:font>
  <w:font w:name="仿宋_GB2312">
    <w:panose1 w:val="02010609030101010101"/>
    <w:charset w:val="86"/>
    <w:family w:val="modern"/>
    <w:pitch w:val="default"/>
    <w:sig w:usb0="00000001" w:usb1="080E0000" w:usb2="00000000" w:usb3="00000000" w:csb0="00040000" w:csb1="00000000"/>
    <w:embedRegular r:id="rId6" w:fontKey="{A194A3E2-42C4-43AA-A24B-0B77D390D280}"/>
  </w:font>
  <w:font w:name="MingLiU">
    <w:panose1 w:val="02020509000000000000"/>
    <w:charset w:val="88"/>
    <w:family w:val="moder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3A51073A-8BA2-4282-995E-FEC94C74A47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EB130C17-856E-4542-BFA7-2B33C338BA43}"/>
  </w:font>
  <w:font w:name="楷体">
    <w:panose1 w:val="02010609060101010101"/>
    <w:charset w:val="86"/>
    <w:family w:val="modern"/>
    <w:pitch w:val="default"/>
    <w:sig w:usb0="800002BF" w:usb1="38CF7CFA" w:usb2="00000016" w:usb3="00000000" w:csb0="00040001" w:csb1="00000000"/>
    <w:embedRegular r:id="rId9" w:fontKey="{B1C033DA-01A8-4257-818D-7B664B4690C7}"/>
  </w:font>
  <w:font w:name="微软雅黑">
    <w:panose1 w:val="020B0503020204020204"/>
    <w:charset w:val="86"/>
    <w:family w:val="swiss"/>
    <w:pitch w:val="default"/>
    <w:sig w:usb0="80000287" w:usb1="280F3C52" w:usb2="00000016" w:usb3="00000000" w:csb0="0004001F" w:csb1="00000000"/>
    <w:embedRegular r:id="rId10" w:fontKey="{CE770543-A9C3-4358-AF8A-F4724C2BD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pict>
        <v:shape id="4098"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4099"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pict>
        <v:shape id="4100" o:spid="_x0000_s3080"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4</w:t>
                </w:r>
                <w:r>
                  <w:fldChar w:fldCharType="end"/>
                </w:r>
              </w:p>
            </w:txbxContent>
          </v:textbox>
        </v:shape>
      </w:pict>
    </w:r>
    <w:r>
      <w:pict>
        <v:shape id="4101" o:spid="_x0000_s3081"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1.25pt" joinstyle="miter"/>
          <v:imagedata o:title=""/>
          <o:lock v:ext="edit"/>
          <v:textbox inset="0mm,0mm,0mm,0mm" style="mso-fit-shape-to-text:t;">
            <w:txbxContent>
              <w:p>
                <w:pPr>
                  <w:pStyle w:val="19"/>
                  <w:rPr>
                    <w:rStyle w:val="31"/>
                  </w:rPr>
                </w:pPr>
                <w:r>
                  <w:rPr>
                    <w:rFonts w:hint="eastAsia"/>
                  </w:rPr>
                  <w:t>4</w:t>
                </w:r>
              </w:p>
            </w:txbxContent>
          </v:textbox>
        </v:shape>
      </w:pic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fldChar w:fldCharType="begin"/>
    </w:r>
    <w:r>
      <w:rPr>
        <w:rStyle w:val="31"/>
      </w:rPr>
      <w:instrText xml:space="preserve">PAGE  </w:instrText>
    </w:r>
    <w:r>
      <w:fldChar w:fldCharType="end"/>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pict>
        <v:shape id="4102"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w:r>
    <w:r>
      <w:pict>
        <v:shape id="4103" o:spid="_x0000_s3076" o:spt="202" type="#_x0000_t202" style="position:absolute;left:0pt;margin-left:230.4pt;margin-top:1.5pt;height:144pt;width:144pt;mso-position-horizontal-relative:margin;mso-wrap-style:none;z-index:251662336;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4"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5" o:spid="_x0000_s307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1.25pt" joinstyle="miter"/>
          <v:imagedata o:title=""/>
          <o:lock v:ext="edit"/>
          <v:textbox inset="0mm,0mm,0mm,0mm" style="mso-fit-shape-to-text:t;">
            <w:txbxContent>
              <w:p>
                <w:pPr>
                  <w:pStyle w:val="19"/>
                </w:pPr>
                <w:r>
                  <w:rPr>
                    <w:rFonts w:hint="eastAsia"/>
                  </w:rPr>
                  <w:t>3</w:t>
                </w:r>
              </w:p>
              <w:p>
                <w:pPr>
                  <w:pStyle w:val="19"/>
                </w:pPr>
              </w:p>
            </w:txbxContent>
          </v:textbox>
        </v:shape>
      </w:pict>
    </w:r>
    <w:r>
      <w:pict>
        <v:shape id="4106" o:spid="_x0000_s307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1.25pt" joinstyle="miter"/>
          <v:imagedata o:title=""/>
          <o:lock v:ext="edit"/>
          <v:textbox inset="0mm,0mm,0mm,0mm" style="mso-fit-shape-to-text:t;">
            <w:txbxContent>
              <w:p>
                <w:pPr>
                  <w:pStyle w:val="19"/>
                </w:pPr>
                <w:r>
                  <w:rPr>
                    <w:rFonts w:hint="eastAsia"/>
                  </w:rPr>
                  <w:t>3</w:t>
                </w:r>
              </w:p>
            </w:txbxContent>
          </v:textbox>
        </v:shape>
      </w:pict>
    </w:r>
  </w:p>
  <w:p>
    <w:pPr>
      <w:pStyle w:val="19"/>
      <w:tabs>
        <w:tab w:val="clear" w:pos="4153"/>
      </w:tabs>
    </w:pPr>
  </w:p>
  <w:p>
    <w:pPr>
      <w:pStyle w:val="19"/>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pict>
        <v:shape id="4109" o:spid="_x0000_s3084"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25</w:t>
                </w:r>
                <w:r>
                  <w:fldChar w:fldCharType="end"/>
                </w:r>
              </w:p>
            </w:txbxContent>
          </v:textbox>
        </v:shape>
      </w:pict>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w:pict>
        <v:shape id="4113" o:spid="_x0000_s308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33</w:t>
                </w:r>
                <w:r>
                  <w:fldChar w:fldCharType="end"/>
                </w:r>
              </w:p>
            </w:txbxContent>
          </v:textbox>
        </v:shape>
      </w:pic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BjZWU5MTI3NGU4NzU0OWFiYzM0ZWM2MDY1NTJhYzQifQ=="/>
  </w:docVars>
  <w:rsids>
    <w:rsidRoot w:val="0062188A"/>
    <w:rsid w:val="00060C6A"/>
    <w:rsid w:val="00120F99"/>
    <w:rsid w:val="0024011F"/>
    <w:rsid w:val="002971F2"/>
    <w:rsid w:val="004616B5"/>
    <w:rsid w:val="005539A0"/>
    <w:rsid w:val="0062188A"/>
    <w:rsid w:val="006C7886"/>
    <w:rsid w:val="007A0514"/>
    <w:rsid w:val="007A7D0A"/>
    <w:rsid w:val="00B22BA0"/>
    <w:rsid w:val="00B92181"/>
    <w:rsid w:val="00BC6CCE"/>
    <w:rsid w:val="00D02B31"/>
    <w:rsid w:val="00D07307"/>
    <w:rsid w:val="00D9637F"/>
    <w:rsid w:val="00EA61A3"/>
    <w:rsid w:val="00ED00C0"/>
    <w:rsid w:val="010827C0"/>
    <w:rsid w:val="010A478A"/>
    <w:rsid w:val="01457570"/>
    <w:rsid w:val="01527EDF"/>
    <w:rsid w:val="015F4817"/>
    <w:rsid w:val="01916C5A"/>
    <w:rsid w:val="01A93FA3"/>
    <w:rsid w:val="01AC75F0"/>
    <w:rsid w:val="01CE59EE"/>
    <w:rsid w:val="02954528"/>
    <w:rsid w:val="02987B74"/>
    <w:rsid w:val="02A8351F"/>
    <w:rsid w:val="03097776"/>
    <w:rsid w:val="034A70C0"/>
    <w:rsid w:val="03522419"/>
    <w:rsid w:val="035717DD"/>
    <w:rsid w:val="035E4919"/>
    <w:rsid w:val="03906A9D"/>
    <w:rsid w:val="03981257"/>
    <w:rsid w:val="03A74512"/>
    <w:rsid w:val="03C2759E"/>
    <w:rsid w:val="03CF75C5"/>
    <w:rsid w:val="03EF5EB9"/>
    <w:rsid w:val="03FF434E"/>
    <w:rsid w:val="040C25C7"/>
    <w:rsid w:val="04245B63"/>
    <w:rsid w:val="04252FDC"/>
    <w:rsid w:val="04294F27"/>
    <w:rsid w:val="043F299D"/>
    <w:rsid w:val="044E0E32"/>
    <w:rsid w:val="04526876"/>
    <w:rsid w:val="04B05649"/>
    <w:rsid w:val="04C80BE4"/>
    <w:rsid w:val="05121E5F"/>
    <w:rsid w:val="0526590B"/>
    <w:rsid w:val="05502988"/>
    <w:rsid w:val="055E6F93"/>
    <w:rsid w:val="05663F59"/>
    <w:rsid w:val="05A056BD"/>
    <w:rsid w:val="05CC0260"/>
    <w:rsid w:val="05CF7D50"/>
    <w:rsid w:val="05E1343B"/>
    <w:rsid w:val="05E425C1"/>
    <w:rsid w:val="05ED01D7"/>
    <w:rsid w:val="05FB64DB"/>
    <w:rsid w:val="067F3525"/>
    <w:rsid w:val="06915006"/>
    <w:rsid w:val="06BC02D5"/>
    <w:rsid w:val="06D27AF8"/>
    <w:rsid w:val="06F2019A"/>
    <w:rsid w:val="071023CF"/>
    <w:rsid w:val="07506C6F"/>
    <w:rsid w:val="075A189C"/>
    <w:rsid w:val="075E313A"/>
    <w:rsid w:val="07691ADF"/>
    <w:rsid w:val="077566D6"/>
    <w:rsid w:val="079002B0"/>
    <w:rsid w:val="07A644DB"/>
    <w:rsid w:val="07B76CEE"/>
    <w:rsid w:val="07C75183"/>
    <w:rsid w:val="07C82CA9"/>
    <w:rsid w:val="07D77390"/>
    <w:rsid w:val="07E71D4B"/>
    <w:rsid w:val="07FE66CB"/>
    <w:rsid w:val="081952B3"/>
    <w:rsid w:val="08326375"/>
    <w:rsid w:val="08406CE4"/>
    <w:rsid w:val="08422A5C"/>
    <w:rsid w:val="084C004D"/>
    <w:rsid w:val="086F75C9"/>
    <w:rsid w:val="087D0D1B"/>
    <w:rsid w:val="088A7F5F"/>
    <w:rsid w:val="089112ED"/>
    <w:rsid w:val="08A46172"/>
    <w:rsid w:val="08AF5C17"/>
    <w:rsid w:val="08CE2541"/>
    <w:rsid w:val="091066B6"/>
    <w:rsid w:val="09212671"/>
    <w:rsid w:val="092263E9"/>
    <w:rsid w:val="092B34F0"/>
    <w:rsid w:val="092E1232"/>
    <w:rsid w:val="099512B1"/>
    <w:rsid w:val="09AF0F46"/>
    <w:rsid w:val="09B23C11"/>
    <w:rsid w:val="09E55D95"/>
    <w:rsid w:val="0A051692"/>
    <w:rsid w:val="0A261F09"/>
    <w:rsid w:val="0A312D88"/>
    <w:rsid w:val="0A5F5B47"/>
    <w:rsid w:val="0A7669ED"/>
    <w:rsid w:val="0A7D7D7B"/>
    <w:rsid w:val="0A8C6210"/>
    <w:rsid w:val="0A8D3D36"/>
    <w:rsid w:val="0AAA2B3A"/>
    <w:rsid w:val="0ACA6D38"/>
    <w:rsid w:val="0B2C354F"/>
    <w:rsid w:val="0B48482D"/>
    <w:rsid w:val="0B521208"/>
    <w:rsid w:val="0B845139"/>
    <w:rsid w:val="0BEF2EFA"/>
    <w:rsid w:val="0C0149DC"/>
    <w:rsid w:val="0C48085D"/>
    <w:rsid w:val="0C9413AC"/>
    <w:rsid w:val="0CA912FB"/>
    <w:rsid w:val="0CB35CD6"/>
    <w:rsid w:val="0CC47EE3"/>
    <w:rsid w:val="0CCD7F57"/>
    <w:rsid w:val="0D076022"/>
    <w:rsid w:val="0D10137A"/>
    <w:rsid w:val="0D116EA1"/>
    <w:rsid w:val="0D305579"/>
    <w:rsid w:val="0D4E59FF"/>
    <w:rsid w:val="0D5154EF"/>
    <w:rsid w:val="0D8E6743"/>
    <w:rsid w:val="0DA47D15"/>
    <w:rsid w:val="0DBB1CDF"/>
    <w:rsid w:val="0DBF4B4E"/>
    <w:rsid w:val="0DD759F4"/>
    <w:rsid w:val="0E06452B"/>
    <w:rsid w:val="0E3270CE"/>
    <w:rsid w:val="0E6B25E0"/>
    <w:rsid w:val="0E8D2557"/>
    <w:rsid w:val="0E9C09EC"/>
    <w:rsid w:val="0EAF1387"/>
    <w:rsid w:val="0ED14B39"/>
    <w:rsid w:val="0ED32660"/>
    <w:rsid w:val="0F114F36"/>
    <w:rsid w:val="0F2A74AB"/>
    <w:rsid w:val="0F5C08A7"/>
    <w:rsid w:val="0F7B6853"/>
    <w:rsid w:val="0FAB0EE6"/>
    <w:rsid w:val="0FD3043D"/>
    <w:rsid w:val="0FDC5544"/>
    <w:rsid w:val="0FFE370C"/>
    <w:rsid w:val="100D260A"/>
    <w:rsid w:val="102D3FF1"/>
    <w:rsid w:val="1033098C"/>
    <w:rsid w:val="108005C5"/>
    <w:rsid w:val="10802373"/>
    <w:rsid w:val="109C1FC6"/>
    <w:rsid w:val="10A11A07"/>
    <w:rsid w:val="10C72BB8"/>
    <w:rsid w:val="10EA3C90"/>
    <w:rsid w:val="11034D52"/>
    <w:rsid w:val="11427629"/>
    <w:rsid w:val="116E48C1"/>
    <w:rsid w:val="119A7465"/>
    <w:rsid w:val="11AB1672"/>
    <w:rsid w:val="11B85B3D"/>
    <w:rsid w:val="11E701D0"/>
    <w:rsid w:val="120945EA"/>
    <w:rsid w:val="12237432"/>
    <w:rsid w:val="123737AF"/>
    <w:rsid w:val="12411FD6"/>
    <w:rsid w:val="12503FC7"/>
    <w:rsid w:val="125E4B51"/>
    <w:rsid w:val="125F420A"/>
    <w:rsid w:val="126B0E01"/>
    <w:rsid w:val="128F5FC0"/>
    <w:rsid w:val="129E2F84"/>
    <w:rsid w:val="12AF0CEE"/>
    <w:rsid w:val="12CE0A4E"/>
    <w:rsid w:val="12D93FBD"/>
    <w:rsid w:val="12E04776"/>
    <w:rsid w:val="12E34E3B"/>
    <w:rsid w:val="12EC1F42"/>
    <w:rsid w:val="12FE3A23"/>
    <w:rsid w:val="132A2A6A"/>
    <w:rsid w:val="13637D2A"/>
    <w:rsid w:val="13692FAC"/>
    <w:rsid w:val="139D148E"/>
    <w:rsid w:val="13AA580C"/>
    <w:rsid w:val="13C46A1B"/>
    <w:rsid w:val="13CB5FFB"/>
    <w:rsid w:val="13F5497F"/>
    <w:rsid w:val="140B289C"/>
    <w:rsid w:val="14180B15"/>
    <w:rsid w:val="14294AD0"/>
    <w:rsid w:val="143473DE"/>
    <w:rsid w:val="14382F65"/>
    <w:rsid w:val="145E6E6F"/>
    <w:rsid w:val="146B333A"/>
    <w:rsid w:val="149363ED"/>
    <w:rsid w:val="14942891"/>
    <w:rsid w:val="14C50C9C"/>
    <w:rsid w:val="14D42C8D"/>
    <w:rsid w:val="14EA425F"/>
    <w:rsid w:val="151E65FF"/>
    <w:rsid w:val="152B4878"/>
    <w:rsid w:val="152D6842"/>
    <w:rsid w:val="153C5E15"/>
    <w:rsid w:val="156C2EC6"/>
    <w:rsid w:val="15783F61"/>
    <w:rsid w:val="15867667"/>
    <w:rsid w:val="158D422C"/>
    <w:rsid w:val="15A5462A"/>
    <w:rsid w:val="15D53161"/>
    <w:rsid w:val="15DB629E"/>
    <w:rsid w:val="15EF3AF7"/>
    <w:rsid w:val="15F9724C"/>
    <w:rsid w:val="15FD7FC2"/>
    <w:rsid w:val="1666025D"/>
    <w:rsid w:val="169C3C7F"/>
    <w:rsid w:val="169F72CB"/>
    <w:rsid w:val="16B26FFE"/>
    <w:rsid w:val="16B67CFA"/>
    <w:rsid w:val="16B72867"/>
    <w:rsid w:val="16D76A65"/>
    <w:rsid w:val="16DB47A7"/>
    <w:rsid w:val="16E44E30"/>
    <w:rsid w:val="17103D25"/>
    <w:rsid w:val="172A32C5"/>
    <w:rsid w:val="173E7C61"/>
    <w:rsid w:val="174D4F79"/>
    <w:rsid w:val="174F7829"/>
    <w:rsid w:val="181F06C4"/>
    <w:rsid w:val="182A7068"/>
    <w:rsid w:val="184D74A1"/>
    <w:rsid w:val="185B064A"/>
    <w:rsid w:val="1864257A"/>
    <w:rsid w:val="188744BB"/>
    <w:rsid w:val="188E75F7"/>
    <w:rsid w:val="18AD2173"/>
    <w:rsid w:val="18B91496"/>
    <w:rsid w:val="18BF1EA7"/>
    <w:rsid w:val="18C1177B"/>
    <w:rsid w:val="190855FC"/>
    <w:rsid w:val="196D1903"/>
    <w:rsid w:val="197A27CD"/>
    <w:rsid w:val="198D5B01"/>
    <w:rsid w:val="19A05834"/>
    <w:rsid w:val="19B66E06"/>
    <w:rsid w:val="19C84263"/>
    <w:rsid w:val="19F36409"/>
    <w:rsid w:val="1A0A0EFF"/>
    <w:rsid w:val="1A120447"/>
    <w:rsid w:val="1A367F46"/>
    <w:rsid w:val="1A951111"/>
    <w:rsid w:val="1AA03612"/>
    <w:rsid w:val="1AAD64AC"/>
    <w:rsid w:val="1AFA0F74"/>
    <w:rsid w:val="1B5B4B1C"/>
    <w:rsid w:val="1B6B3C20"/>
    <w:rsid w:val="1B9238A2"/>
    <w:rsid w:val="1BD73063"/>
    <w:rsid w:val="1C1D316C"/>
    <w:rsid w:val="1C766D20"/>
    <w:rsid w:val="1C8256C5"/>
    <w:rsid w:val="1C915908"/>
    <w:rsid w:val="1CA078F9"/>
    <w:rsid w:val="1CB333E0"/>
    <w:rsid w:val="1CB41354"/>
    <w:rsid w:val="1CCD20B8"/>
    <w:rsid w:val="1CF85987"/>
    <w:rsid w:val="1D077978"/>
    <w:rsid w:val="1D0D1432"/>
    <w:rsid w:val="1D0E1B5B"/>
    <w:rsid w:val="1D491D3F"/>
    <w:rsid w:val="1D633CEE"/>
    <w:rsid w:val="1D6D1ED1"/>
    <w:rsid w:val="1D7E43A8"/>
    <w:rsid w:val="1D7E5E8C"/>
    <w:rsid w:val="1D8B7FF4"/>
    <w:rsid w:val="1DAF6046"/>
    <w:rsid w:val="1DDE692B"/>
    <w:rsid w:val="1E0F4D36"/>
    <w:rsid w:val="1E277B41"/>
    <w:rsid w:val="1E2F362A"/>
    <w:rsid w:val="1E51534F"/>
    <w:rsid w:val="1E917E41"/>
    <w:rsid w:val="1EA60132"/>
    <w:rsid w:val="1EBA1146"/>
    <w:rsid w:val="1EE12B77"/>
    <w:rsid w:val="1EFA59E6"/>
    <w:rsid w:val="1EFB350D"/>
    <w:rsid w:val="1F100D66"/>
    <w:rsid w:val="1F274302"/>
    <w:rsid w:val="1F4B6242"/>
    <w:rsid w:val="1F5D7D23"/>
    <w:rsid w:val="1F6010CE"/>
    <w:rsid w:val="1F6E3CDF"/>
    <w:rsid w:val="1F83778A"/>
    <w:rsid w:val="1FA92F69"/>
    <w:rsid w:val="1FDB5818"/>
    <w:rsid w:val="1FEB3581"/>
    <w:rsid w:val="1FFB7C68"/>
    <w:rsid w:val="20232D1B"/>
    <w:rsid w:val="20531852"/>
    <w:rsid w:val="20887022"/>
    <w:rsid w:val="2096173F"/>
    <w:rsid w:val="20A21E92"/>
    <w:rsid w:val="20EC75B1"/>
    <w:rsid w:val="21076199"/>
    <w:rsid w:val="212C3E51"/>
    <w:rsid w:val="212E5E1B"/>
    <w:rsid w:val="21494C14"/>
    <w:rsid w:val="21517470"/>
    <w:rsid w:val="21617F9F"/>
    <w:rsid w:val="21645399"/>
    <w:rsid w:val="21780E44"/>
    <w:rsid w:val="21B77BBF"/>
    <w:rsid w:val="21BE0F4D"/>
    <w:rsid w:val="21FE134A"/>
    <w:rsid w:val="21FF50C2"/>
    <w:rsid w:val="2201708C"/>
    <w:rsid w:val="223631D9"/>
    <w:rsid w:val="22590C76"/>
    <w:rsid w:val="225A5718"/>
    <w:rsid w:val="226118D9"/>
    <w:rsid w:val="22682C67"/>
    <w:rsid w:val="22A31EF1"/>
    <w:rsid w:val="22DF6424"/>
    <w:rsid w:val="22E76282"/>
    <w:rsid w:val="22F4099F"/>
    <w:rsid w:val="23405992"/>
    <w:rsid w:val="23886A39"/>
    <w:rsid w:val="23A75A11"/>
    <w:rsid w:val="23C30A9D"/>
    <w:rsid w:val="23CD191B"/>
    <w:rsid w:val="23CD36CA"/>
    <w:rsid w:val="23DA5DE6"/>
    <w:rsid w:val="23E427C1"/>
    <w:rsid w:val="243279D1"/>
    <w:rsid w:val="2479115B"/>
    <w:rsid w:val="2480073C"/>
    <w:rsid w:val="248D2E59"/>
    <w:rsid w:val="249266C1"/>
    <w:rsid w:val="249C309C"/>
    <w:rsid w:val="24AD52A9"/>
    <w:rsid w:val="24B959FC"/>
    <w:rsid w:val="250C1B15"/>
    <w:rsid w:val="2516573C"/>
    <w:rsid w:val="25201F1F"/>
    <w:rsid w:val="25302162"/>
    <w:rsid w:val="25382DC5"/>
    <w:rsid w:val="253D711F"/>
    <w:rsid w:val="25496D80"/>
    <w:rsid w:val="259B3353"/>
    <w:rsid w:val="25CC175F"/>
    <w:rsid w:val="25D02FFD"/>
    <w:rsid w:val="25D725DE"/>
    <w:rsid w:val="25DF1492"/>
    <w:rsid w:val="25E371D4"/>
    <w:rsid w:val="26215F4F"/>
    <w:rsid w:val="264D0AF2"/>
    <w:rsid w:val="26551754"/>
    <w:rsid w:val="265C0D35"/>
    <w:rsid w:val="26695200"/>
    <w:rsid w:val="268A523A"/>
    <w:rsid w:val="268F4C66"/>
    <w:rsid w:val="26D45AFC"/>
    <w:rsid w:val="26D92385"/>
    <w:rsid w:val="26F31699"/>
    <w:rsid w:val="27076EF2"/>
    <w:rsid w:val="270A36F7"/>
    <w:rsid w:val="272D447F"/>
    <w:rsid w:val="274243CE"/>
    <w:rsid w:val="27457A1B"/>
    <w:rsid w:val="274C0DA9"/>
    <w:rsid w:val="278A3680"/>
    <w:rsid w:val="27987F08"/>
    <w:rsid w:val="27A75FE0"/>
    <w:rsid w:val="27D8263D"/>
    <w:rsid w:val="27E92A9C"/>
    <w:rsid w:val="283F446A"/>
    <w:rsid w:val="286640ED"/>
    <w:rsid w:val="286B1703"/>
    <w:rsid w:val="28AA3FD9"/>
    <w:rsid w:val="28B74948"/>
    <w:rsid w:val="28B9246E"/>
    <w:rsid w:val="28DA4193"/>
    <w:rsid w:val="28DB0637"/>
    <w:rsid w:val="28FE60D3"/>
    <w:rsid w:val="29177195"/>
    <w:rsid w:val="293E2974"/>
    <w:rsid w:val="29424212"/>
    <w:rsid w:val="2948084E"/>
    <w:rsid w:val="29BB3FC4"/>
    <w:rsid w:val="29C27101"/>
    <w:rsid w:val="29EC0622"/>
    <w:rsid w:val="2A007C29"/>
    <w:rsid w:val="2A106665"/>
    <w:rsid w:val="2A691C72"/>
    <w:rsid w:val="2A9C3DF6"/>
    <w:rsid w:val="2A9C5BA4"/>
    <w:rsid w:val="2AAA4765"/>
    <w:rsid w:val="2AAA6513"/>
    <w:rsid w:val="2AAD7DB1"/>
    <w:rsid w:val="2AC91D50"/>
    <w:rsid w:val="2AF43C32"/>
    <w:rsid w:val="2B0025D7"/>
    <w:rsid w:val="2B12230A"/>
    <w:rsid w:val="2B155FA5"/>
    <w:rsid w:val="2B1E0CAF"/>
    <w:rsid w:val="2B2A7653"/>
    <w:rsid w:val="2B512890"/>
    <w:rsid w:val="2B514BE0"/>
    <w:rsid w:val="2B85488A"/>
    <w:rsid w:val="2B876854"/>
    <w:rsid w:val="2BA25422"/>
    <w:rsid w:val="2BC74EA2"/>
    <w:rsid w:val="2C0A4D8F"/>
    <w:rsid w:val="2C1300E8"/>
    <w:rsid w:val="2C1B0D4A"/>
    <w:rsid w:val="2C1F5C2C"/>
    <w:rsid w:val="2C385DA0"/>
    <w:rsid w:val="2C697D08"/>
    <w:rsid w:val="2C78619D"/>
    <w:rsid w:val="2C9A4365"/>
    <w:rsid w:val="2CB87690"/>
    <w:rsid w:val="2CCE2260"/>
    <w:rsid w:val="2CD31625"/>
    <w:rsid w:val="2CDF7FCA"/>
    <w:rsid w:val="2CEB2E12"/>
    <w:rsid w:val="2D1F0559"/>
    <w:rsid w:val="2D2A09B7"/>
    <w:rsid w:val="2D314CC9"/>
    <w:rsid w:val="2D39592C"/>
    <w:rsid w:val="2D3E73E6"/>
    <w:rsid w:val="2D7070E6"/>
    <w:rsid w:val="2D7E5A35"/>
    <w:rsid w:val="2DBE4083"/>
    <w:rsid w:val="2DCC1BA7"/>
    <w:rsid w:val="2E1A575D"/>
    <w:rsid w:val="2E56075F"/>
    <w:rsid w:val="2EA8720D"/>
    <w:rsid w:val="2EAE2349"/>
    <w:rsid w:val="2EBC7C8C"/>
    <w:rsid w:val="2EC97183"/>
    <w:rsid w:val="2EE67D35"/>
    <w:rsid w:val="2EE97B20"/>
    <w:rsid w:val="2F083808"/>
    <w:rsid w:val="2F3F437A"/>
    <w:rsid w:val="2F412F26"/>
    <w:rsid w:val="2F68699C"/>
    <w:rsid w:val="2F6F7D2B"/>
    <w:rsid w:val="2F754C15"/>
    <w:rsid w:val="2F9B467C"/>
    <w:rsid w:val="2FCE2CA3"/>
    <w:rsid w:val="300E12F2"/>
    <w:rsid w:val="305B3E0B"/>
    <w:rsid w:val="305F1B4D"/>
    <w:rsid w:val="307355F9"/>
    <w:rsid w:val="307A24E3"/>
    <w:rsid w:val="308B0B94"/>
    <w:rsid w:val="30AB6B41"/>
    <w:rsid w:val="30B05F05"/>
    <w:rsid w:val="310426F5"/>
    <w:rsid w:val="311E5564"/>
    <w:rsid w:val="313703D4"/>
    <w:rsid w:val="31662A68"/>
    <w:rsid w:val="316B16FF"/>
    <w:rsid w:val="31745184"/>
    <w:rsid w:val="31D64091"/>
    <w:rsid w:val="31E71DFA"/>
    <w:rsid w:val="32056724"/>
    <w:rsid w:val="32224600"/>
    <w:rsid w:val="326A6587"/>
    <w:rsid w:val="32827D75"/>
    <w:rsid w:val="32AC3044"/>
    <w:rsid w:val="32B048E2"/>
    <w:rsid w:val="32B67A1F"/>
    <w:rsid w:val="3330157F"/>
    <w:rsid w:val="334E53C6"/>
    <w:rsid w:val="33596D28"/>
    <w:rsid w:val="33947D60"/>
    <w:rsid w:val="339D07EA"/>
    <w:rsid w:val="33B201E6"/>
    <w:rsid w:val="33B421B0"/>
    <w:rsid w:val="33B91574"/>
    <w:rsid w:val="33D47DAE"/>
    <w:rsid w:val="33D97E69"/>
    <w:rsid w:val="33DF57E6"/>
    <w:rsid w:val="33EA7980"/>
    <w:rsid w:val="340C5B48"/>
    <w:rsid w:val="341449FD"/>
    <w:rsid w:val="34232F40"/>
    <w:rsid w:val="345319C9"/>
    <w:rsid w:val="345B6AD0"/>
    <w:rsid w:val="34931DC5"/>
    <w:rsid w:val="34F07218"/>
    <w:rsid w:val="35472BB0"/>
    <w:rsid w:val="3585789B"/>
    <w:rsid w:val="358636D8"/>
    <w:rsid w:val="359758E5"/>
    <w:rsid w:val="35982258"/>
    <w:rsid w:val="35D97CAC"/>
    <w:rsid w:val="35ED7BFB"/>
    <w:rsid w:val="35FF576A"/>
    <w:rsid w:val="36176A26"/>
    <w:rsid w:val="36315D3A"/>
    <w:rsid w:val="364A0BAA"/>
    <w:rsid w:val="368D6CE8"/>
    <w:rsid w:val="37386C54"/>
    <w:rsid w:val="374455F9"/>
    <w:rsid w:val="37A442EA"/>
    <w:rsid w:val="37C52BDE"/>
    <w:rsid w:val="37DE77FC"/>
    <w:rsid w:val="37F232A7"/>
    <w:rsid w:val="37FF7772"/>
    <w:rsid w:val="380A3FA4"/>
    <w:rsid w:val="381369CA"/>
    <w:rsid w:val="3825542A"/>
    <w:rsid w:val="38390ED6"/>
    <w:rsid w:val="38413F2D"/>
    <w:rsid w:val="3850234F"/>
    <w:rsid w:val="38635F53"/>
    <w:rsid w:val="387B329C"/>
    <w:rsid w:val="387B504A"/>
    <w:rsid w:val="38934A8A"/>
    <w:rsid w:val="38B93DC5"/>
    <w:rsid w:val="38D97FC3"/>
    <w:rsid w:val="38E67D83"/>
    <w:rsid w:val="39074B30"/>
    <w:rsid w:val="39085807"/>
    <w:rsid w:val="395F496C"/>
    <w:rsid w:val="39665CFB"/>
    <w:rsid w:val="39875C71"/>
    <w:rsid w:val="39A6259B"/>
    <w:rsid w:val="39CD7B28"/>
    <w:rsid w:val="39D638EB"/>
    <w:rsid w:val="39E3559D"/>
    <w:rsid w:val="39E76710"/>
    <w:rsid w:val="3A237089"/>
    <w:rsid w:val="3A476E38"/>
    <w:rsid w:val="3A513879"/>
    <w:rsid w:val="3A5B0CCB"/>
    <w:rsid w:val="3A6B7341"/>
    <w:rsid w:val="3A8A5A19"/>
    <w:rsid w:val="3AB64A60"/>
    <w:rsid w:val="3AD751A5"/>
    <w:rsid w:val="3AEE41FA"/>
    <w:rsid w:val="3B7364AD"/>
    <w:rsid w:val="3B8B1A48"/>
    <w:rsid w:val="3BD333EF"/>
    <w:rsid w:val="3BD80A06"/>
    <w:rsid w:val="3BF55114"/>
    <w:rsid w:val="3C4D4F50"/>
    <w:rsid w:val="3C5F4C83"/>
    <w:rsid w:val="3C6B0A9F"/>
    <w:rsid w:val="3C7626F9"/>
    <w:rsid w:val="3CA37266"/>
    <w:rsid w:val="3CBB45AF"/>
    <w:rsid w:val="3CC42D11"/>
    <w:rsid w:val="3CD411CD"/>
    <w:rsid w:val="3CE07B72"/>
    <w:rsid w:val="3CF25AF7"/>
    <w:rsid w:val="3D0715A3"/>
    <w:rsid w:val="3D766728"/>
    <w:rsid w:val="3D8C5F4C"/>
    <w:rsid w:val="3DAC3EF8"/>
    <w:rsid w:val="3DB35286"/>
    <w:rsid w:val="3DB77BD6"/>
    <w:rsid w:val="3DE14002"/>
    <w:rsid w:val="3DE6740A"/>
    <w:rsid w:val="3E1877DF"/>
    <w:rsid w:val="3E1C0F2E"/>
    <w:rsid w:val="3E210442"/>
    <w:rsid w:val="3E377C66"/>
    <w:rsid w:val="3E3A07E0"/>
    <w:rsid w:val="3E554590"/>
    <w:rsid w:val="3E834C59"/>
    <w:rsid w:val="3E864749"/>
    <w:rsid w:val="3E8804C1"/>
    <w:rsid w:val="3E921340"/>
    <w:rsid w:val="3E990920"/>
    <w:rsid w:val="3EAA48DB"/>
    <w:rsid w:val="3ECA0ADA"/>
    <w:rsid w:val="3ED5122D"/>
    <w:rsid w:val="3F3B5D55"/>
    <w:rsid w:val="3F3D74FE"/>
    <w:rsid w:val="3F536D21"/>
    <w:rsid w:val="3F620D12"/>
    <w:rsid w:val="3F6C2E38"/>
    <w:rsid w:val="3F966C0E"/>
    <w:rsid w:val="3FD10C59"/>
    <w:rsid w:val="3FFE7E0D"/>
    <w:rsid w:val="4001677D"/>
    <w:rsid w:val="400C0C7E"/>
    <w:rsid w:val="400E2C48"/>
    <w:rsid w:val="407F3B46"/>
    <w:rsid w:val="40844CB8"/>
    <w:rsid w:val="40BC08F6"/>
    <w:rsid w:val="410B53D9"/>
    <w:rsid w:val="411C6F37"/>
    <w:rsid w:val="412D35A2"/>
    <w:rsid w:val="414032D5"/>
    <w:rsid w:val="414C7ECC"/>
    <w:rsid w:val="414F3B5A"/>
    <w:rsid w:val="415428DD"/>
    <w:rsid w:val="41736037"/>
    <w:rsid w:val="41A25D3E"/>
    <w:rsid w:val="41D117E6"/>
    <w:rsid w:val="4205007B"/>
    <w:rsid w:val="423544BC"/>
    <w:rsid w:val="423F358D"/>
    <w:rsid w:val="42402E61"/>
    <w:rsid w:val="424357A1"/>
    <w:rsid w:val="42576B28"/>
    <w:rsid w:val="4269685C"/>
    <w:rsid w:val="426B6130"/>
    <w:rsid w:val="427F7E2D"/>
    <w:rsid w:val="42A11B51"/>
    <w:rsid w:val="42AB6E74"/>
    <w:rsid w:val="42DC5FA0"/>
    <w:rsid w:val="42DE4B54"/>
    <w:rsid w:val="42F02AD9"/>
    <w:rsid w:val="431C567C"/>
    <w:rsid w:val="432F3601"/>
    <w:rsid w:val="43650DD1"/>
    <w:rsid w:val="43A86F10"/>
    <w:rsid w:val="43C57AC2"/>
    <w:rsid w:val="43CF0940"/>
    <w:rsid w:val="43DE6DD5"/>
    <w:rsid w:val="43E066A9"/>
    <w:rsid w:val="441647C1"/>
    <w:rsid w:val="443C17FD"/>
    <w:rsid w:val="447F5EC2"/>
    <w:rsid w:val="44C47D79"/>
    <w:rsid w:val="44DC50C3"/>
    <w:rsid w:val="44E126D9"/>
    <w:rsid w:val="44E977E0"/>
    <w:rsid w:val="455B692F"/>
    <w:rsid w:val="457572C5"/>
    <w:rsid w:val="45765517"/>
    <w:rsid w:val="458F65D9"/>
    <w:rsid w:val="45B222C8"/>
    <w:rsid w:val="45BE0C6C"/>
    <w:rsid w:val="45C85647"/>
    <w:rsid w:val="45D83F32"/>
    <w:rsid w:val="45F14B9E"/>
    <w:rsid w:val="45F75F2C"/>
    <w:rsid w:val="46144D30"/>
    <w:rsid w:val="461D5993"/>
    <w:rsid w:val="462036D5"/>
    <w:rsid w:val="462705C0"/>
    <w:rsid w:val="462C5BD6"/>
    <w:rsid w:val="46674E60"/>
    <w:rsid w:val="467001B9"/>
    <w:rsid w:val="46775885"/>
    <w:rsid w:val="46916381"/>
    <w:rsid w:val="469519CD"/>
    <w:rsid w:val="46BB51AC"/>
    <w:rsid w:val="46D00C57"/>
    <w:rsid w:val="46DD5122"/>
    <w:rsid w:val="470D5A07"/>
    <w:rsid w:val="475353E4"/>
    <w:rsid w:val="47571378"/>
    <w:rsid w:val="477A0BC3"/>
    <w:rsid w:val="47867568"/>
    <w:rsid w:val="478B1022"/>
    <w:rsid w:val="47AE0674"/>
    <w:rsid w:val="47BC11DC"/>
    <w:rsid w:val="47CC58C3"/>
    <w:rsid w:val="47EB386F"/>
    <w:rsid w:val="4823125B"/>
    <w:rsid w:val="482D3E87"/>
    <w:rsid w:val="4851401A"/>
    <w:rsid w:val="486D24D6"/>
    <w:rsid w:val="4876206B"/>
    <w:rsid w:val="48783354"/>
    <w:rsid w:val="48873598"/>
    <w:rsid w:val="48A04659"/>
    <w:rsid w:val="491C63D6"/>
    <w:rsid w:val="49380D36"/>
    <w:rsid w:val="496658A3"/>
    <w:rsid w:val="49792B95"/>
    <w:rsid w:val="49975A5C"/>
    <w:rsid w:val="49AB1508"/>
    <w:rsid w:val="4A0B01F8"/>
    <w:rsid w:val="4A201EF6"/>
    <w:rsid w:val="4A8F4B67"/>
    <w:rsid w:val="4AD66A58"/>
    <w:rsid w:val="4AEF3D08"/>
    <w:rsid w:val="4B412124"/>
    <w:rsid w:val="4B685902"/>
    <w:rsid w:val="4B7A5635"/>
    <w:rsid w:val="4B842010"/>
    <w:rsid w:val="4B9F6E4A"/>
    <w:rsid w:val="4BA3693A"/>
    <w:rsid w:val="4BAB70A4"/>
    <w:rsid w:val="4BB02E05"/>
    <w:rsid w:val="4BB16B1F"/>
    <w:rsid w:val="4BCC0845"/>
    <w:rsid w:val="4BD25472"/>
    <w:rsid w:val="4BEB6533"/>
    <w:rsid w:val="4BF278C2"/>
    <w:rsid w:val="4C0A0767"/>
    <w:rsid w:val="4C215AB1"/>
    <w:rsid w:val="4C325F10"/>
    <w:rsid w:val="4C3677AE"/>
    <w:rsid w:val="4C3E6663"/>
    <w:rsid w:val="4C5A672A"/>
    <w:rsid w:val="4C60185A"/>
    <w:rsid w:val="4C77153B"/>
    <w:rsid w:val="4C8A5D4C"/>
    <w:rsid w:val="4CA30BBC"/>
    <w:rsid w:val="4CA706AC"/>
    <w:rsid w:val="4CEC60BF"/>
    <w:rsid w:val="4CF82CB6"/>
    <w:rsid w:val="4D221AE1"/>
    <w:rsid w:val="4D2B308B"/>
    <w:rsid w:val="4D3161C8"/>
    <w:rsid w:val="4D317F76"/>
    <w:rsid w:val="4D5325E2"/>
    <w:rsid w:val="4D551EB6"/>
    <w:rsid w:val="4DA644C0"/>
    <w:rsid w:val="4DAB3590"/>
    <w:rsid w:val="4DBC3CE3"/>
    <w:rsid w:val="4DC25072"/>
    <w:rsid w:val="4DD54DA5"/>
    <w:rsid w:val="4DF35AFD"/>
    <w:rsid w:val="4DFA75E6"/>
    <w:rsid w:val="4E1F4272"/>
    <w:rsid w:val="4E2D698F"/>
    <w:rsid w:val="4EB1136E"/>
    <w:rsid w:val="4EB66985"/>
    <w:rsid w:val="4ECF5C98"/>
    <w:rsid w:val="4F035942"/>
    <w:rsid w:val="4F116F22"/>
    <w:rsid w:val="4F734876"/>
    <w:rsid w:val="4FBC4453"/>
    <w:rsid w:val="4FBE7C06"/>
    <w:rsid w:val="4FC82E13"/>
    <w:rsid w:val="4FD07F1A"/>
    <w:rsid w:val="4FDA66A3"/>
    <w:rsid w:val="4FEB6B02"/>
    <w:rsid w:val="501A1195"/>
    <w:rsid w:val="50371D47"/>
    <w:rsid w:val="506A211C"/>
    <w:rsid w:val="507F724A"/>
    <w:rsid w:val="508952CA"/>
    <w:rsid w:val="509176A9"/>
    <w:rsid w:val="50A54F03"/>
    <w:rsid w:val="50EA189A"/>
    <w:rsid w:val="51097524"/>
    <w:rsid w:val="51694182"/>
    <w:rsid w:val="51A72EFC"/>
    <w:rsid w:val="51AE428B"/>
    <w:rsid w:val="51C15D6C"/>
    <w:rsid w:val="51DB05C2"/>
    <w:rsid w:val="51E01241"/>
    <w:rsid w:val="51EE28D9"/>
    <w:rsid w:val="52097713"/>
    <w:rsid w:val="521D6D1B"/>
    <w:rsid w:val="522B27B3"/>
    <w:rsid w:val="52354064"/>
    <w:rsid w:val="526849B5"/>
    <w:rsid w:val="52701540"/>
    <w:rsid w:val="52AB4326"/>
    <w:rsid w:val="52E47CB0"/>
    <w:rsid w:val="52EB05A3"/>
    <w:rsid w:val="53807561"/>
    <w:rsid w:val="538708F0"/>
    <w:rsid w:val="538B4884"/>
    <w:rsid w:val="539B439B"/>
    <w:rsid w:val="53BC2C8F"/>
    <w:rsid w:val="53EC109A"/>
    <w:rsid w:val="540957A8"/>
    <w:rsid w:val="541128AF"/>
    <w:rsid w:val="54280325"/>
    <w:rsid w:val="54442C85"/>
    <w:rsid w:val="54534C76"/>
    <w:rsid w:val="545A6004"/>
    <w:rsid w:val="547846DC"/>
    <w:rsid w:val="54921C42"/>
    <w:rsid w:val="54E3424B"/>
    <w:rsid w:val="550B38B0"/>
    <w:rsid w:val="5516017D"/>
    <w:rsid w:val="551B39E5"/>
    <w:rsid w:val="55342CF9"/>
    <w:rsid w:val="55654C60"/>
    <w:rsid w:val="55766E6E"/>
    <w:rsid w:val="55A51501"/>
    <w:rsid w:val="55A57753"/>
    <w:rsid w:val="55C951EF"/>
    <w:rsid w:val="55E2499B"/>
    <w:rsid w:val="55E30D34"/>
    <w:rsid w:val="561F3061"/>
    <w:rsid w:val="563C1E65"/>
    <w:rsid w:val="56576C9F"/>
    <w:rsid w:val="566B274A"/>
    <w:rsid w:val="566E223B"/>
    <w:rsid w:val="56764C4B"/>
    <w:rsid w:val="568764CA"/>
    <w:rsid w:val="568B6949"/>
    <w:rsid w:val="56C63E25"/>
    <w:rsid w:val="56DA167E"/>
    <w:rsid w:val="56ED315F"/>
    <w:rsid w:val="56FE711B"/>
    <w:rsid w:val="571E156B"/>
    <w:rsid w:val="571E77BD"/>
    <w:rsid w:val="574014E1"/>
    <w:rsid w:val="5765719A"/>
    <w:rsid w:val="57B41ECF"/>
    <w:rsid w:val="57CD4D3F"/>
    <w:rsid w:val="58533196"/>
    <w:rsid w:val="586438F5"/>
    <w:rsid w:val="58694A68"/>
    <w:rsid w:val="588B2C30"/>
    <w:rsid w:val="58A61818"/>
    <w:rsid w:val="58BA52C3"/>
    <w:rsid w:val="58BC728D"/>
    <w:rsid w:val="58D81BED"/>
    <w:rsid w:val="58DA5965"/>
    <w:rsid w:val="58E42340"/>
    <w:rsid w:val="58FD6F34"/>
    <w:rsid w:val="5919507E"/>
    <w:rsid w:val="5966544B"/>
    <w:rsid w:val="596B480F"/>
    <w:rsid w:val="59A321FB"/>
    <w:rsid w:val="59A673BE"/>
    <w:rsid w:val="59DE4FE1"/>
    <w:rsid w:val="59EE4D15"/>
    <w:rsid w:val="5A201A9E"/>
    <w:rsid w:val="5A287C46"/>
    <w:rsid w:val="5A924D04"/>
    <w:rsid w:val="5A9B769B"/>
    <w:rsid w:val="5AA567B3"/>
    <w:rsid w:val="5ABD72ED"/>
    <w:rsid w:val="5AE20B01"/>
    <w:rsid w:val="5AFA409D"/>
    <w:rsid w:val="5B1433B1"/>
    <w:rsid w:val="5B1909C7"/>
    <w:rsid w:val="5B231846"/>
    <w:rsid w:val="5B33135D"/>
    <w:rsid w:val="5B3F5F54"/>
    <w:rsid w:val="5B525C87"/>
    <w:rsid w:val="5B5C08B4"/>
    <w:rsid w:val="5B8D4F11"/>
    <w:rsid w:val="5BDB5C7C"/>
    <w:rsid w:val="5BDE4CC1"/>
    <w:rsid w:val="5BE56AFB"/>
    <w:rsid w:val="5C1E3DBB"/>
    <w:rsid w:val="5C4C26D6"/>
    <w:rsid w:val="5C553C81"/>
    <w:rsid w:val="5C5872CD"/>
    <w:rsid w:val="5C6C0FCA"/>
    <w:rsid w:val="5C875E04"/>
    <w:rsid w:val="5CB62246"/>
    <w:rsid w:val="5CDA5F34"/>
    <w:rsid w:val="5CE2303B"/>
    <w:rsid w:val="5D0E625D"/>
    <w:rsid w:val="5D1D4073"/>
    <w:rsid w:val="5D521F6E"/>
    <w:rsid w:val="5D6D0B56"/>
    <w:rsid w:val="5D7A4E55"/>
    <w:rsid w:val="5D812854"/>
    <w:rsid w:val="5D8A00C2"/>
    <w:rsid w:val="5DA16A52"/>
    <w:rsid w:val="5DB524FD"/>
    <w:rsid w:val="5DC5434E"/>
    <w:rsid w:val="5DDB01B6"/>
    <w:rsid w:val="5DEF41AF"/>
    <w:rsid w:val="5E07266A"/>
    <w:rsid w:val="5E1B2CA8"/>
    <w:rsid w:val="5E59732C"/>
    <w:rsid w:val="5E7F4B44"/>
    <w:rsid w:val="5E987E55"/>
    <w:rsid w:val="5ECD2D85"/>
    <w:rsid w:val="5EE906B0"/>
    <w:rsid w:val="5EEF5607"/>
    <w:rsid w:val="5F1020E1"/>
    <w:rsid w:val="5F127C6A"/>
    <w:rsid w:val="5F571ABE"/>
    <w:rsid w:val="5F814D8D"/>
    <w:rsid w:val="5F8A1E93"/>
    <w:rsid w:val="5F904FD0"/>
    <w:rsid w:val="5FA8056B"/>
    <w:rsid w:val="5FAB005C"/>
    <w:rsid w:val="5FB40CBE"/>
    <w:rsid w:val="5FB46F10"/>
    <w:rsid w:val="5FC058B5"/>
    <w:rsid w:val="5FD34130"/>
    <w:rsid w:val="60067040"/>
    <w:rsid w:val="603757DF"/>
    <w:rsid w:val="606721D5"/>
    <w:rsid w:val="609151DD"/>
    <w:rsid w:val="60BC2FCB"/>
    <w:rsid w:val="60C90799"/>
    <w:rsid w:val="60E13F4D"/>
    <w:rsid w:val="60E455D3"/>
    <w:rsid w:val="6122434D"/>
    <w:rsid w:val="613936BC"/>
    <w:rsid w:val="61B2122D"/>
    <w:rsid w:val="61FE4473"/>
    <w:rsid w:val="623065F6"/>
    <w:rsid w:val="624B474F"/>
    <w:rsid w:val="624D0F56"/>
    <w:rsid w:val="625D388F"/>
    <w:rsid w:val="62620EA5"/>
    <w:rsid w:val="6271733B"/>
    <w:rsid w:val="628E1C9B"/>
    <w:rsid w:val="62944DD7"/>
    <w:rsid w:val="62BC6150"/>
    <w:rsid w:val="62E0001C"/>
    <w:rsid w:val="63181564"/>
    <w:rsid w:val="632C14B3"/>
    <w:rsid w:val="636A0ACB"/>
    <w:rsid w:val="638F4C44"/>
    <w:rsid w:val="63AC0B5B"/>
    <w:rsid w:val="63B773AF"/>
    <w:rsid w:val="63BB75EA"/>
    <w:rsid w:val="63C74D38"/>
    <w:rsid w:val="63FA7BB1"/>
    <w:rsid w:val="641B57B0"/>
    <w:rsid w:val="644C3BBB"/>
    <w:rsid w:val="64930237"/>
    <w:rsid w:val="649E3CEB"/>
    <w:rsid w:val="64CA4AE0"/>
    <w:rsid w:val="64F82DE4"/>
    <w:rsid w:val="64F845EB"/>
    <w:rsid w:val="651636FD"/>
    <w:rsid w:val="652E1513"/>
    <w:rsid w:val="65332685"/>
    <w:rsid w:val="653D52B2"/>
    <w:rsid w:val="65613696"/>
    <w:rsid w:val="65870C23"/>
    <w:rsid w:val="65AC068A"/>
    <w:rsid w:val="65C21C5B"/>
    <w:rsid w:val="65E9368C"/>
    <w:rsid w:val="66292152"/>
    <w:rsid w:val="66462182"/>
    <w:rsid w:val="66544FA9"/>
    <w:rsid w:val="66636F9A"/>
    <w:rsid w:val="66891B58"/>
    <w:rsid w:val="66976C44"/>
    <w:rsid w:val="66C8504F"/>
    <w:rsid w:val="66DE4873"/>
    <w:rsid w:val="66EC51E2"/>
    <w:rsid w:val="66F44096"/>
    <w:rsid w:val="67065B78"/>
    <w:rsid w:val="673152EA"/>
    <w:rsid w:val="674958D0"/>
    <w:rsid w:val="679478D6"/>
    <w:rsid w:val="67AA6BA3"/>
    <w:rsid w:val="67D55C76"/>
    <w:rsid w:val="684B5F38"/>
    <w:rsid w:val="68637AC4"/>
    <w:rsid w:val="686F716C"/>
    <w:rsid w:val="6870599E"/>
    <w:rsid w:val="68A45648"/>
    <w:rsid w:val="691C78D4"/>
    <w:rsid w:val="69320EA6"/>
    <w:rsid w:val="698536CB"/>
    <w:rsid w:val="69A2427D"/>
    <w:rsid w:val="69E403F2"/>
    <w:rsid w:val="69E93C5A"/>
    <w:rsid w:val="6A0B1E23"/>
    <w:rsid w:val="6A0C37D2"/>
    <w:rsid w:val="6A4B66C3"/>
    <w:rsid w:val="6A4C5F97"/>
    <w:rsid w:val="6A7A0D56"/>
    <w:rsid w:val="6A9F256B"/>
    <w:rsid w:val="6AA61B4B"/>
    <w:rsid w:val="6AA81420"/>
    <w:rsid w:val="6AD466B8"/>
    <w:rsid w:val="6ADB7A47"/>
    <w:rsid w:val="6AF1726A"/>
    <w:rsid w:val="6AF64881"/>
    <w:rsid w:val="6B001234"/>
    <w:rsid w:val="6B122D3D"/>
    <w:rsid w:val="6B3727A3"/>
    <w:rsid w:val="6B4C44A1"/>
    <w:rsid w:val="6BA047ED"/>
    <w:rsid w:val="6BCA6F9A"/>
    <w:rsid w:val="6BD050D2"/>
    <w:rsid w:val="6BE75F78"/>
    <w:rsid w:val="6C111246"/>
    <w:rsid w:val="6C2244B9"/>
    <w:rsid w:val="6C4909E0"/>
    <w:rsid w:val="6C8B0FF9"/>
    <w:rsid w:val="6CA125CA"/>
    <w:rsid w:val="6CA200F0"/>
    <w:rsid w:val="6CC4450B"/>
    <w:rsid w:val="6CDB1656"/>
    <w:rsid w:val="6CE001CB"/>
    <w:rsid w:val="6CE32BE3"/>
    <w:rsid w:val="6CFA7F2C"/>
    <w:rsid w:val="6D934609"/>
    <w:rsid w:val="6DA700B4"/>
    <w:rsid w:val="6DBE71AC"/>
    <w:rsid w:val="6DDE15FC"/>
    <w:rsid w:val="6E4B6C92"/>
    <w:rsid w:val="6E647D53"/>
    <w:rsid w:val="6E921E40"/>
    <w:rsid w:val="6E9457DF"/>
    <w:rsid w:val="6EFE302B"/>
    <w:rsid w:val="6F1654F2"/>
    <w:rsid w:val="6F1C062E"/>
    <w:rsid w:val="6F467459"/>
    <w:rsid w:val="6F573414"/>
    <w:rsid w:val="6F614293"/>
    <w:rsid w:val="6F616041"/>
    <w:rsid w:val="6F683873"/>
    <w:rsid w:val="6F8166E3"/>
    <w:rsid w:val="6F9257DB"/>
    <w:rsid w:val="6F9603E0"/>
    <w:rsid w:val="6F9E1043"/>
    <w:rsid w:val="6FDB2297"/>
    <w:rsid w:val="70147557"/>
    <w:rsid w:val="70952446"/>
    <w:rsid w:val="70CB40BA"/>
    <w:rsid w:val="70E1568B"/>
    <w:rsid w:val="70FA04FB"/>
    <w:rsid w:val="710D46D2"/>
    <w:rsid w:val="71237A52"/>
    <w:rsid w:val="71593474"/>
    <w:rsid w:val="718030F6"/>
    <w:rsid w:val="718D5813"/>
    <w:rsid w:val="719721EE"/>
    <w:rsid w:val="71AB5C99"/>
    <w:rsid w:val="71AF12E6"/>
    <w:rsid w:val="71C07997"/>
    <w:rsid w:val="71E05943"/>
    <w:rsid w:val="71F96A05"/>
    <w:rsid w:val="722B2374"/>
    <w:rsid w:val="724063E2"/>
    <w:rsid w:val="72565C05"/>
    <w:rsid w:val="72655E48"/>
    <w:rsid w:val="728868F3"/>
    <w:rsid w:val="72A46970"/>
    <w:rsid w:val="72BA0B6E"/>
    <w:rsid w:val="72BA43E6"/>
    <w:rsid w:val="72D82ABE"/>
    <w:rsid w:val="730B2E93"/>
    <w:rsid w:val="73267CCD"/>
    <w:rsid w:val="734E4B2E"/>
    <w:rsid w:val="737E4A2B"/>
    <w:rsid w:val="738E22A1"/>
    <w:rsid w:val="73A330CC"/>
    <w:rsid w:val="73AD5CF9"/>
    <w:rsid w:val="73E6120B"/>
    <w:rsid w:val="73F2195D"/>
    <w:rsid w:val="740578E3"/>
    <w:rsid w:val="74212243"/>
    <w:rsid w:val="74650381"/>
    <w:rsid w:val="747B1953"/>
    <w:rsid w:val="748527D2"/>
    <w:rsid w:val="748922C2"/>
    <w:rsid w:val="74C432FA"/>
    <w:rsid w:val="74C50E20"/>
    <w:rsid w:val="7501454E"/>
    <w:rsid w:val="750E79AD"/>
    <w:rsid w:val="75137DDD"/>
    <w:rsid w:val="75363ACC"/>
    <w:rsid w:val="75387844"/>
    <w:rsid w:val="7589009F"/>
    <w:rsid w:val="75A44E76"/>
    <w:rsid w:val="75DB4D9F"/>
    <w:rsid w:val="761B7DAD"/>
    <w:rsid w:val="76465F91"/>
    <w:rsid w:val="764B35A7"/>
    <w:rsid w:val="76607052"/>
    <w:rsid w:val="768A2321"/>
    <w:rsid w:val="76B64EC4"/>
    <w:rsid w:val="76BD4C57"/>
    <w:rsid w:val="771D13E7"/>
    <w:rsid w:val="774D3A7A"/>
    <w:rsid w:val="77836040"/>
    <w:rsid w:val="77996CC0"/>
    <w:rsid w:val="77BE48EF"/>
    <w:rsid w:val="77C655DB"/>
    <w:rsid w:val="77C67389"/>
    <w:rsid w:val="77F739E6"/>
    <w:rsid w:val="78112CFA"/>
    <w:rsid w:val="78422AC1"/>
    <w:rsid w:val="78564BB1"/>
    <w:rsid w:val="788F3C1F"/>
    <w:rsid w:val="78B0254F"/>
    <w:rsid w:val="78B673FD"/>
    <w:rsid w:val="78CC6C21"/>
    <w:rsid w:val="78CD4747"/>
    <w:rsid w:val="79273E57"/>
    <w:rsid w:val="792E3438"/>
    <w:rsid w:val="79442C5B"/>
    <w:rsid w:val="796E4E17"/>
    <w:rsid w:val="797939A4"/>
    <w:rsid w:val="7993773F"/>
    <w:rsid w:val="79BF22E2"/>
    <w:rsid w:val="79F71A7C"/>
    <w:rsid w:val="7A232871"/>
    <w:rsid w:val="7A3F3423"/>
    <w:rsid w:val="7A460C55"/>
    <w:rsid w:val="7A85352B"/>
    <w:rsid w:val="7A8772A3"/>
    <w:rsid w:val="7AB43E11"/>
    <w:rsid w:val="7AB756AF"/>
    <w:rsid w:val="7AD26045"/>
    <w:rsid w:val="7AE91D0C"/>
    <w:rsid w:val="7AEA1E0E"/>
    <w:rsid w:val="7B072192"/>
    <w:rsid w:val="7B3A4316"/>
    <w:rsid w:val="7B9B28DB"/>
    <w:rsid w:val="7BA9292E"/>
    <w:rsid w:val="7BAB0D70"/>
    <w:rsid w:val="7BB3231A"/>
    <w:rsid w:val="7BB8348D"/>
    <w:rsid w:val="7BD858DD"/>
    <w:rsid w:val="7BE97AEA"/>
    <w:rsid w:val="7BFA65BD"/>
    <w:rsid w:val="7C016BE2"/>
    <w:rsid w:val="7C0B7A60"/>
    <w:rsid w:val="7C324FED"/>
    <w:rsid w:val="7C3A6597"/>
    <w:rsid w:val="7C3F595C"/>
    <w:rsid w:val="7C4E5B9F"/>
    <w:rsid w:val="7C887303"/>
    <w:rsid w:val="7C8C785E"/>
    <w:rsid w:val="7C961A20"/>
    <w:rsid w:val="7CA345C3"/>
    <w:rsid w:val="7CAA1027"/>
    <w:rsid w:val="7CB2612E"/>
    <w:rsid w:val="7CC145C3"/>
    <w:rsid w:val="7CF33B15"/>
    <w:rsid w:val="7CFB1883"/>
    <w:rsid w:val="7D124E1E"/>
    <w:rsid w:val="7D2C7C8E"/>
    <w:rsid w:val="7D6438CC"/>
    <w:rsid w:val="7D761851"/>
    <w:rsid w:val="7D9F66B2"/>
    <w:rsid w:val="7E301D3A"/>
    <w:rsid w:val="7E421BBD"/>
    <w:rsid w:val="7E522F9F"/>
    <w:rsid w:val="7E5A4CCF"/>
    <w:rsid w:val="7E5C27F5"/>
    <w:rsid w:val="7E88183C"/>
    <w:rsid w:val="7E8853C3"/>
    <w:rsid w:val="7F1B7FBA"/>
    <w:rsid w:val="7F453289"/>
    <w:rsid w:val="7F456CA2"/>
    <w:rsid w:val="7F5B2AAD"/>
    <w:rsid w:val="7F800765"/>
    <w:rsid w:val="7F8244DD"/>
    <w:rsid w:val="7F8A3392"/>
    <w:rsid w:val="7F995383"/>
    <w:rsid w:val="7FB16B71"/>
    <w:rsid w:val="7FB65F35"/>
    <w:rsid w:val="7FD95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5">
    <w:name w:val="heading 2"/>
    <w:basedOn w:val="1"/>
    <w:next w:val="6"/>
    <w:link w:val="40"/>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42"/>
    <w:qFormat/>
    <w:uiPriority w:val="0"/>
    <w:pPr>
      <w:keepNext/>
      <w:keepLines/>
      <w:spacing w:before="260" w:after="260" w:line="416" w:lineRule="auto"/>
      <w:outlineLvl w:val="2"/>
    </w:pPr>
    <w:rPr>
      <w:b/>
      <w:bCs/>
      <w:sz w:val="32"/>
      <w:szCs w:val="32"/>
    </w:rPr>
  </w:style>
  <w:style w:type="paragraph" w:styleId="8">
    <w:name w:val="heading 4"/>
    <w:basedOn w:val="1"/>
    <w:next w:val="1"/>
    <w:link w:val="43"/>
    <w:qFormat/>
    <w:uiPriority w:val="9"/>
    <w:pPr>
      <w:spacing w:before="100" w:beforeAutospacing="1" w:after="100" w:afterAutospacing="1"/>
      <w:jc w:val="left"/>
      <w:outlineLvl w:val="3"/>
    </w:pPr>
    <w:rPr>
      <w:rFonts w:ascii="宋体" w:hAnsi="宋体"/>
      <w:b/>
      <w:kern w:val="0"/>
      <w:sz w:val="24"/>
    </w:rPr>
  </w:style>
  <w:style w:type="paragraph" w:styleId="9">
    <w:name w:val="heading 5"/>
    <w:basedOn w:val="1"/>
    <w:next w:val="1"/>
    <w:link w:val="44"/>
    <w:qFormat/>
    <w:uiPriority w:val="9"/>
    <w:pPr>
      <w:spacing w:before="100" w:beforeAutospacing="1" w:after="100" w:afterAutospacing="1"/>
      <w:jc w:val="left"/>
      <w:outlineLvl w:val="4"/>
    </w:pPr>
    <w:rPr>
      <w:rFonts w:ascii="宋体" w:hAnsi="宋体"/>
      <w:b/>
      <w:kern w:val="0"/>
      <w:sz w:val="2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link w:val="47"/>
    <w:qFormat/>
    <w:uiPriority w:val="0"/>
    <w:pPr>
      <w:ind w:firstLine="830" w:firstLineChars="352"/>
    </w:pPr>
    <w:rPr>
      <w:rFonts w:ascii="仿宋_GB2312" w:eastAsia="仿宋_GB2312"/>
      <w:kern w:val="0"/>
      <w:sz w:val="32"/>
      <w:szCs w:val="20"/>
    </w:rPr>
  </w:style>
  <w:style w:type="paragraph" w:styleId="6">
    <w:name w:val="Normal Indent"/>
    <w:basedOn w:val="1"/>
    <w:link w:val="41"/>
    <w:qFormat/>
    <w:uiPriority w:val="0"/>
    <w:pPr>
      <w:ind w:firstLine="420" w:firstLineChars="200"/>
    </w:p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annotation text"/>
    <w:basedOn w:val="1"/>
    <w:link w:val="37"/>
    <w:qFormat/>
    <w:uiPriority w:val="0"/>
    <w:pPr>
      <w:jc w:val="left"/>
    </w:pPr>
  </w:style>
  <w:style w:type="paragraph" w:styleId="12">
    <w:name w:val="Body Text 3"/>
    <w:basedOn w:val="1"/>
    <w:link w:val="45"/>
    <w:qFormat/>
    <w:uiPriority w:val="99"/>
    <w:pPr>
      <w:spacing w:after="120"/>
    </w:pPr>
    <w:rPr>
      <w:sz w:val="16"/>
      <w:szCs w:val="16"/>
    </w:rPr>
  </w:style>
  <w:style w:type="paragraph" w:styleId="13">
    <w:name w:val="Body Text"/>
    <w:basedOn w:val="1"/>
    <w:link w:val="46"/>
    <w:qFormat/>
    <w:uiPriority w:val="0"/>
    <w:pPr>
      <w:jc w:val="center"/>
    </w:p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link w:val="48"/>
    <w:qFormat/>
    <w:uiPriority w:val="0"/>
    <w:rPr>
      <w:rFonts w:ascii="宋体" w:hAnsi="Courier New"/>
      <w:kern w:val="0"/>
      <w:sz w:val="20"/>
      <w:szCs w:val="21"/>
    </w:rPr>
  </w:style>
  <w:style w:type="paragraph" w:styleId="16">
    <w:name w:val="Date"/>
    <w:basedOn w:val="1"/>
    <w:next w:val="1"/>
    <w:link w:val="49"/>
    <w:qFormat/>
    <w:uiPriority w:val="0"/>
    <w:pPr>
      <w:ind w:left="100" w:leftChars="2500"/>
    </w:pPr>
  </w:style>
  <w:style w:type="paragraph" w:styleId="17">
    <w:name w:val="Body Text Indent 2"/>
    <w:basedOn w:val="1"/>
    <w:link w:val="50"/>
    <w:qFormat/>
    <w:uiPriority w:val="0"/>
    <w:pPr>
      <w:spacing w:after="120" w:line="480" w:lineRule="auto"/>
      <w:ind w:left="420" w:leftChars="200"/>
    </w:pPr>
  </w:style>
  <w:style w:type="paragraph" w:styleId="18">
    <w:name w:val="Balloon Text"/>
    <w:basedOn w:val="1"/>
    <w:link w:val="36"/>
    <w:qFormat/>
    <w:uiPriority w:val="99"/>
    <w:rPr>
      <w:sz w:val="18"/>
      <w:szCs w:val="18"/>
    </w:rPr>
  </w:style>
  <w:style w:type="paragraph" w:styleId="19">
    <w:name w:val="footer"/>
    <w:basedOn w:val="1"/>
    <w:link w:val="51"/>
    <w:qFormat/>
    <w:uiPriority w:val="0"/>
    <w:pPr>
      <w:tabs>
        <w:tab w:val="center" w:pos="4153"/>
        <w:tab w:val="right" w:pos="8306"/>
      </w:tabs>
      <w:snapToGrid w:val="0"/>
      <w:jc w:val="left"/>
    </w:pPr>
    <w:rPr>
      <w:kern w:val="0"/>
      <w:sz w:val="18"/>
      <w:szCs w:val="18"/>
    </w:rPr>
  </w:style>
  <w:style w:type="paragraph" w:styleId="20">
    <w:name w:val="header"/>
    <w:basedOn w:val="1"/>
    <w:link w:val="52"/>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3"/>
    <w:qFormat/>
    <w:uiPriority w:val="99"/>
    <w:pPr>
      <w:spacing w:after="120"/>
      <w:ind w:left="420" w:leftChars="200"/>
    </w:pPr>
    <w:rPr>
      <w:sz w:val="16"/>
      <w:szCs w:val="16"/>
    </w:rPr>
  </w:style>
  <w:style w:type="paragraph" w:styleId="24">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26">
    <w:name w:val="annotation subject"/>
    <w:basedOn w:val="11"/>
    <w:next w:val="11"/>
    <w:link w:val="55"/>
    <w:qFormat/>
    <w:uiPriority w:val="0"/>
    <w:rPr>
      <w:b/>
      <w:bCs/>
    </w:rPr>
  </w:style>
  <w:style w:type="table" w:styleId="28">
    <w:name w:val="Table Grid"/>
    <w:basedOn w:val="2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qFormat/>
    <w:uiPriority w:val="22"/>
    <w:rPr>
      <w:b/>
      <w:bCs/>
    </w:rPr>
  </w:style>
  <w:style w:type="character" w:styleId="31">
    <w:name w:val="page number"/>
    <w:qFormat/>
    <w:uiPriority w:val="0"/>
  </w:style>
  <w:style w:type="character" w:styleId="32">
    <w:name w:val="FollowedHyperlink"/>
    <w:qFormat/>
    <w:uiPriority w:val="0"/>
    <w:rPr>
      <w:color w:val="800080"/>
      <w:u w:val="single"/>
    </w:rPr>
  </w:style>
  <w:style w:type="character" w:styleId="33">
    <w:name w:val="Hyperlink"/>
    <w:qFormat/>
    <w:uiPriority w:val="0"/>
    <w:rPr>
      <w:color w:val="0000FF"/>
      <w:u w:val="single"/>
    </w:rPr>
  </w:style>
  <w:style w:type="character" w:styleId="34">
    <w:name w:val="annotation reference"/>
    <w:qFormat/>
    <w:uiPriority w:val="0"/>
    <w:rPr>
      <w:sz w:val="21"/>
      <w:szCs w:val="21"/>
    </w:rPr>
  </w:style>
  <w:style w:type="character" w:styleId="35">
    <w:name w:val="HTML Cite"/>
    <w:qFormat/>
    <w:uiPriority w:val="0"/>
  </w:style>
  <w:style w:type="character" w:customStyle="1" w:styleId="36">
    <w:name w:val="批注框文本 字符"/>
    <w:link w:val="18"/>
    <w:qFormat/>
    <w:uiPriority w:val="99"/>
    <w:rPr>
      <w:kern w:val="2"/>
      <w:sz w:val="18"/>
      <w:szCs w:val="18"/>
    </w:rPr>
  </w:style>
  <w:style w:type="character" w:customStyle="1" w:styleId="37">
    <w:name w:val="批注文字 字符"/>
    <w:link w:val="11"/>
    <w:qFormat/>
    <w:uiPriority w:val="0"/>
    <w:rPr>
      <w:rFonts w:ascii="Times New Roman" w:hAnsi="Times New Roman"/>
      <w:kern w:val="2"/>
      <w:sz w:val="21"/>
      <w:szCs w:val="24"/>
    </w:rPr>
  </w:style>
  <w:style w:type="paragraph" w:customStyle="1" w:styleId="38">
    <w:name w:val="表格文字"/>
    <w:basedOn w:val="1"/>
    <w:qFormat/>
    <w:uiPriority w:val="0"/>
    <w:pPr>
      <w:spacing w:before="25" w:after="25"/>
      <w:jc w:val="left"/>
    </w:pPr>
    <w:rPr>
      <w:bCs/>
      <w:spacing w:val="10"/>
      <w:kern w:val="0"/>
      <w:sz w:val="24"/>
    </w:rPr>
  </w:style>
  <w:style w:type="character" w:customStyle="1" w:styleId="39">
    <w:name w:val="标题 1 字符"/>
    <w:link w:val="4"/>
    <w:qFormat/>
    <w:uiPriority w:val="0"/>
    <w:rPr>
      <w:b/>
      <w:bCs/>
      <w:kern w:val="44"/>
      <w:sz w:val="44"/>
      <w:szCs w:val="44"/>
    </w:rPr>
  </w:style>
  <w:style w:type="character" w:customStyle="1" w:styleId="40">
    <w:name w:val="标题 2 字符"/>
    <w:link w:val="5"/>
    <w:qFormat/>
    <w:uiPriority w:val="0"/>
    <w:rPr>
      <w:rFonts w:ascii="Arial" w:hAnsi="Arial" w:eastAsia="黑体"/>
      <w:b/>
      <w:bCs/>
      <w:kern w:val="2"/>
      <w:sz w:val="32"/>
      <w:szCs w:val="32"/>
    </w:rPr>
  </w:style>
  <w:style w:type="character" w:customStyle="1" w:styleId="41">
    <w:name w:val="正文缩进 字符"/>
    <w:link w:val="6"/>
    <w:qFormat/>
    <w:uiPriority w:val="0"/>
    <w:rPr>
      <w:kern w:val="2"/>
      <w:sz w:val="21"/>
      <w:szCs w:val="24"/>
    </w:rPr>
  </w:style>
  <w:style w:type="character" w:customStyle="1" w:styleId="42">
    <w:name w:val="标题 3 字符"/>
    <w:link w:val="7"/>
    <w:qFormat/>
    <w:uiPriority w:val="0"/>
    <w:rPr>
      <w:b/>
      <w:bCs/>
      <w:kern w:val="2"/>
      <w:sz w:val="32"/>
      <w:szCs w:val="32"/>
    </w:rPr>
  </w:style>
  <w:style w:type="character" w:customStyle="1" w:styleId="43">
    <w:name w:val="标题 4 字符"/>
    <w:link w:val="8"/>
    <w:qFormat/>
    <w:uiPriority w:val="9"/>
    <w:rPr>
      <w:rFonts w:ascii="宋体" w:hAnsi="宋体"/>
      <w:b/>
      <w:sz w:val="24"/>
      <w:szCs w:val="24"/>
    </w:rPr>
  </w:style>
  <w:style w:type="character" w:customStyle="1" w:styleId="44">
    <w:name w:val="标题 5 字符"/>
    <w:link w:val="9"/>
    <w:qFormat/>
    <w:uiPriority w:val="9"/>
    <w:rPr>
      <w:rFonts w:ascii="宋体" w:hAnsi="宋体" w:cs="宋体"/>
      <w:b/>
    </w:rPr>
  </w:style>
  <w:style w:type="character" w:customStyle="1" w:styleId="45">
    <w:name w:val="正文文本 3 字符"/>
    <w:link w:val="12"/>
    <w:qFormat/>
    <w:uiPriority w:val="99"/>
    <w:rPr>
      <w:kern w:val="2"/>
      <w:sz w:val="16"/>
      <w:szCs w:val="16"/>
    </w:rPr>
  </w:style>
  <w:style w:type="character" w:customStyle="1" w:styleId="46">
    <w:name w:val="正文文本 字符"/>
    <w:link w:val="13"/>
    <w:qFormat/>
    <w:uiPriority w:val="0"/>
    <w:rPr>
      <w:kern w:val="2"/>
      <w:sz w:val="21"/>
      <w:szCs w:val="24"/>
    </w:rPr>
  </w:style>
  <w:style w:type="character" w:customStyle="1" w:styleId="47">
    <w:name w:val="正文文本缩进 字符1"/>
    <w:link w:val="3"/>
    <w:qFormat/>
    <w:uiPriority w:val="0"/>
    <w:rPr>
      <w:rFonts w:ascii="仿宋_GB2312" w:hAnsi="Times New Roman" w:eastAsia="仿宋_GB2312" w:cs="Times New Roman"/>
      <w:sz w:val="32"/>
      <w:szCs w:val="20"/>
    </w:rPr>
  </w:style>
  <w:style w:type="character" w:customStyle="1" w:styleId="48">
    <w:name w:val="纯文本 字符1"/>
    <w:link w:val="15"/>
    <w:qFormat/>
    <w:uiPriority w:val="0"/>
    <w:rPr>
      <w:rFonts w:ascii="宋体" w:hAnsi="Courier New" w:eastAsia="宋体" w:cs="Courier New"/>
      <w:szCs w:val="21"/>
    </w:rPr>
  </w:style>
  <w:style w:type="character" w:customStyle="1" w:styleId="49">
    <w:name w:val="日期 字符"/>
    <w:link w:val="16"/>
    <w:qFormat/>
    <w:uiPriority w:val="0"/>
    <w:rPr>
      <w:kern w:val="2"/>
      <w:sz w:val="21"/>
      <w:szCs w:val="24"/>
    </w:rPr>
  </w:style>
  <w:style w:type="character" w:customStyle="1" w:styleId="50">
    <w:name w:val="正文文本缩进 2 字符"/>
    <w:link w:val="17"/>
    <w:qFormat/>
    <w:uiPriority w:val="0"/>
    <w:rPr>
      <w:kern w:val="2"/>
      <w:sz w:val="21"/>
      <w:szCs w:val="24"/>
    </w:rPr>
  </w:style>
  <w:style w:type="character" w:customStyle="1" w:styleId="51">
    <w:name w:val="页脚 字符1"/>
    <w:link w:val="19"/>
    <w:qFormat/>
    <w:uiPriority w:val="0"/>
    <w:rPr>
      <w:sz w:val="18"/>
      <w:szCs w:val="18"/>
    </w:rPr>
  </w:style>
  <w:style w:type="character" w:customStyle="1" w:styleId="52">
    <w:name w:val="页眉 字符1"/>
    <w:link w:val="20"/>
    <w:qFormat/>
    <w:uiPriority w:val="0"/>
    <w:rPr>
      <w:sz w:val="18"/>
      <w:szCs w:val="18"/>
    </w:rPr>
  </w:style>
  <w:style w:type="character" w:customStyle="1" w:styleId="53">
    <w:name w:val="正文文本缩进 3 字符"/>
    <w:link w:val="23"/>
    <w:qFormat/>
    <w:uiPriority w:val="99"/>
    <w:rPr>
      <w:kern w:val="2"/>
      <w:sz w:val="16"/>
      <w:szCs w:val="16"/>
    </w:rPr>
  </w:style>
  <w:style w:type="character" w:customStyle="1" w:styleId="54">
    <w:name w:val="HTML 预设格式 字符"/>
    <w:link w:val="24"/>
    <w:qFormat/>
    <w:uiPriority w:val="99"/>
    <w:rPr>
      <w:rFonts w:ascii="宋体" w:hAnsi="宋体" w:cs="宋体"/>
      <w:sz w:val="24"/>
      <w:szCs w:val="24"/>
    </w:rPr>
  </w:style>
  <w:style w:type="character" w:customStyle="1" w:styleId="55">
    <w:name w:val="批注主题 字符"/>
    <w:link w:val="26"/>
    <w:qFormat/>
    <w:uiPriority w:val="0"/>
    <w:rPr>
      <w:rFonts w:ascii="Times New Roman" w:hAnsi="Times New Roman"/>
      <w:b/>
      <w:bCs/>
      <w:kern w:val="2"/>
      <w:sz w:val="21"/>
      <w:szCs w:val="24"/>
    </w:rPr>
  </w:style>
  <w:style w:type="character" w:customStyle="1" w:styleId="56">
    <w:name w:val="页脚 字符"/>
    <w:qFormat/>
    <w:uiPriority w:val="99"/>
    <w:rPr>
      <w:rFonts w:ascii="Times New Roman" w:hAnsi="Times New Roman" w:eastAsia="宋体" w:cs="Times New Roman"/>
      <w:sz w:val="18"/>
      <w:szCs w:val="18"/>
    </w:rPr>
  </w:style>
  <w:style w:type="character" w:customStyle="1" w:styleId="57">
    <w:name w:val="font91"/>
    <w:qFormat/>
    <w:uiPriority w:val="0"/>
    <w:rPr>
      <w:rFonts w:hint="default" w:ascii="仿宋_GB2312" w:eastAsia="仿宋_GB2312" w:cs="仿宋_GB2312"/>
      <w:color w:val="000000"/>
      <w:sz w:val="22"/>
      <w:szCs w:val="22"/>
      <w:u w:val="none"/>
    </w:rPr>
  </w:style>
  <w:style w:type="character" w:customStyle="1" w:styleId="58">
    <w:name w:val="普通文字 Char Char3"/>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标题 3 Char"/>
    <w:qFormat/>
    <w:uiPriority w:val="0"/>
    <w:rPr>
      <w:rFonts w:eastAsia="宋体"/>
      <w:b/>
      <w:bCs/>
      <w:kern w:val="2"/>
      <w:sz w:val="32"/>
      <w:szCs w:val="32"/>
      <w:lang w:val="en-US" w:eastAsia="zh-CN" w:bidi="ar-SA"/>
    </w:rPr>
  </w:style>
  <w:style w:type="character" w:customStyle="1" w:styleId="61">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qFormat/>
    <w:uiPriority w:val="0"/>
    <w:rPr>
      <w:rFonts w:ascii="Times New Roman" w:hAnsi="Times New Roman" w:eastAsia="宋体" w:cs="Times New Roman"/>
      <w:sz w:val="18"/>
      <w:szCs w:val="18"/>
    </w:rPr>
  </w:style>
  <w:style w:type="character" w:customStyle="1" w:styleId="63">
    <w:name w:val="font01"/>
    <w:qFormat/>
    <w:uiPriority w:val="0"/>
    <w:rPr>
      <w:rFonts w:hint="eastAsia" w:ascii="宋体" w:hAnsi="宋体" w:eastAsia="宋体" w:cs="宋体"/>
      <w:b/>
      <w:color w:val="000000"/>
      <w:sz w:val="20"/>
      <w:szCs w:val="20"/>
      <w:u w:val="none"/>
    </w:rPr>
  </w:style>
  <w:style w:type="character" w:customStyle="1" w:styleId="64">
    <w:name w:val="Char Char3"/>
    <w:qFormat/>
    <w:uiPriority w:val="0"/>
    <w:rPr>
      <w:rFonts w:ascii="宋体" w:hAnsi="Courier New" w:eastAsia="宋体"/>
      <w:b/>
      <w:kern w:val="2"/>
      <w:sz w:val="21"/>
      <w:lang w:val="en-US" w:eastAsia="zh-CN"/>
    </w:rPr>
  </w:style>
  <w:style w:type="character" w:customStyle="1" w:styleId="65">
    <w:name w:val="font71"/>
    <w:qFormat/>
    <w:uiPriority w:val="0"/>
    <w:rPr>
      <w:rFonts w:hint="default" w:ascii="Arial" w:hAnsi="Arial" w:cs="Arial"/>
      <w:color w:val="000000"/>
      <w:sz w:val="22"/>
      <w:szCs w:val="22"/>
      <w:u w:val="none"/>
    </w:rPr>
  </w:style>
  <w:style w:type="character" w:customStyle="1" w:styleId="66">
    <w:name w:val="font11"/>
    <w:qFormat/>
    <w:uiPriority w:val="0"/>
    <w:rPr>
      <w:rFonts w:hint="eastAsia" w:ascii="宋体" w:hAnsi="宋体" w:eastAsia="宋体" w:cs="宋体"/>
      <w:color w:val="000000"/>
      <w:sz w:val="20"/>
      <w:szCs w:val="20"/>
      <w:u w:val="none"/>
    </w:rPr>
  </w:style>
  <w:style w:type="character" w:customStyle="1" w:styleId="67">
    <w:name w:val="纯文本 Char1"/>
    <w:qFormat/>
    <w:uiPriority w:val="0"/>
    <w:rPr>
      <w:rFonts w:ascii="宋体" w:hAnsi="Courier New" w:eastAsia="宋体" w:cs="Courier New"/>
      <w:szCs w:val="21"/>
    </w:rPr>
  </w:style>
  <w:style w:type="character" w:customStyle="1" w:styleId="68">
    <w:name w:val="正文文本缩进 字符"/>
    <w:qFormat/>
    <w:uiPriority w:val="0"/>
    <w:rPr>
      <w:rFonts w:ascii="仿宋_GB2312" w:hAnsi="Times New Roman" w:eastAsia="仿宋_GB2312" w:cs="Times New Roman"/>
      <w:sz w:val="32"/>
      <w:szCs w:val="20"/>
    </w:rPr>
  </w:style>
  <w:style w:type="character" w:customStyle="1" w:styleId="69">
    <w:name w:val="font121"/>
    <w:qFormat/>
    <w:uiPriority w:val="0"/>
    <w:rPr>
      <w:rFonts w:hint="eastAsia" w:ascii="宋体" w:hAnsi="宋体" w:eastAsia="宋体" w:cs="宋体"/>
      <w:b/>
      <w:bCs/>
      <w:color w:val="000000"/>
      <w:sz w:val="20"/>
      <w:szCs w:val="20"/>
      <w:u w:val="none"/>
    </w:rPr>
  </w:style>
  <w:style w:type="character" w:customStyle="1" w:styleId="70">
    <w:name w:val="纯文本 Char"/>
    <w:qFormat/>
    <w:uiPriority w:val="0"/>
    <w:rPr>
      <w:rFonts w:ascii="宋体" w:hAnsi="Courier New" w:eastAsia="宋体"/>
      <w:szCs w:val="21"/>
      <w:lang w:bidi="ar-SA"/>
    </w:rPr>
  </w:style>
  <w:style w:type="character" w:customStyle="1" w:styleId="71">
    <w:name w:val="apple-converted-space"/>
    <w:qFormat/>
    <w:uiPriority w:val="0"/>
  </w:style>
  <w:style w:type="paragraph" w:customStyle="1" w:styleId="72">
    <w:name w:val="_Style 5"/>
    <w:basedOn w:val="1"/>
    <w:qFormat/>
    <w:uiPriority w:val="34"/>
    <w:pPr>
      <w:ind w:firstLine="420" w:firstLineChars="200"/>
    </w:pPr>
  </w:style>
  <w:style w:type="paragraph" w:customStyle="1" w:styleId="73">
    <w:name w:val="表格字体"/>
    <w:basedOn w:val="1"/>
    <w:qFormat/>
    <w:uiPriority w:val="0"/>
    <w:rPr>
      <w:sz w:val="18"/>
      <w:szCs w:val="18"/>
    </w:rPr>
  </w:style>
  <w:style w:type="paragraph" w:customStyle="1" w:styleId="74">
    <w:name w:val="彩色列表 - 强调文字颜色 11"/>
    <w:basedOn w:val="1"/>
    <w:qFormat/>
    <w:uiPriority w:val="0"/>
    <w:pPr>
      <w:ind w:firstLine="420" w:firstLineChars="200"/>
    </w:pPr>
    <w:rPr>
      <w:rFonts w:ascii="Calibri" w:hAnsi="Calibri"/>
      <w:szCs w:val="22"/>
    </w:rPr>
  </w:style>
  <w:style w:type="paragraph" w:customStyle="1" w:styleId="75">
    <w:name w:val="p0"/>
    <w:basedOn w:val="1"/>
    <w:qFormat/>
    <w:uiPriority w:val="0"/>
    <w:pPr>
      <w:widowControl/>
    </w:pPr>
    <w:rPr>
      <w:kern w:val="0"/>
      <w:szCs w:val="21"/>
    </w:rPr>
  </w:style>
  <w:style w:type="paragraph" w:customStyle="1" w:styleId="76">
    <w:name w:val="_Style 1"/>
    <w:basedOn w:val="1"/>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qFormat/>
    <w:uiPriority w:val="0"/>
    <w:rPr>
      <w:b/>
      <w:bCs/>
      <w:sz w:val="36"/>
      <w:szCs w:val="32"/>
    </w:rPr>
  </w:style>
  <w:style w:type="paragraph" w:customStyle="1" w:styleId="78">
    <w:name w:val="1"/>
    <w:basedOn w:val="1"/>
    <w:next w:val="15"/>
    <w:qFormat/>
    <w:uiPriority w:val="0"/>
    <w:rPr>
      <w:rFonts w:ascii="宋体" w:hAnsi="Courier New"/>
      <w:szCs w:val="20"/>
    </w:rPr>
  </w:style>
  <w:style w:type="paragraph" w:customStyle="1" w:styleId="79">
    <w:name w:val="Table Paragraph"/>
    <w:basedOn w:val="1"/>
    <w:qFormat/>
    <w:uiPriority w:val="1"/>
    <w:rPr>
      <w:rFonts w:ascii="宋体" w:hAnsi="宋体" w:cs="宋体"/>
      <w:lang w:val="zh-CN" w:bidi="zh-CN"/>
    </w:rPr>
  </w:style>
  <w:style w:type="paragraph" w:customStyle="1" w:styleId="80">
    <w:name w:val="Char Char"/>
    <w:basedOn w:val="1"/>
    <w:qFormat/>
    <w:uiPriority w:val="0"/>
    <w:rPr>
      <w:rFonts w:ascii="仿宋_GB2312" w:eastAsia="仿宋_GB2312"/>
      <w:b/>
      <w:sz w:val="32"/>
      <w:szCs w:val="32"/>
    </w:rPr>
  </w:style>
  <w:style w:type="paragraph" w:customStyle="1" w:styleId="81">
    <w:name w:val="Char"/>
    <w:basedOn w:val="1"/>
    <w:qFormat/>
    <w:uiPriority w:val="0"/>
  </w:style>
  <w:style w:type="paragraph" w:customStyle="1" w:styleId="82">
    <w:name w:val="Char1"/>
    <w:basedOn w:val="1"/>
    <w:qFormat/>
    <w:uiPriority w:val="0"/>
    <w:rPr>
      <w:rFonts w:ascii="仿宋_GB2312" w:eastAsia="仿宋_GB2312"/>
      <w:b/>
      <w:sz w:val="32"/>
      <w:szCs w:val="32"/>
    </w:rPr>
  </w:style>
  <w:style w:type="paragraph" w:customStyle="1" w:styleId="83">
    <w:name w:val="Char1 Char Char Char Char Char"/>
    <w:basedOn w:val="1"/>
    <w:qFormat/>
    <w:uiPriority w:val="0"/>
    <w:rPr>
      <w:rFonts w:eastAsia="Times New Roman"/>
      <w:b/>
      <w:bCs/>
      <w:kern w:val="0"/>
      <w:sz w:val="36"/>
      <w:szCs w:val="32"/>
    </w:rPr>
  </w:style>
  <w:style w:type="paragraph" w:customStyle="1" w:styleId="84">
    <w:name w:val="Char1 Char Char Char"/>
    <w:basedOn w:val="1"/>
    <w:qFormat/>
    <w:uiPriority w:val="0"/>
    <w:rPr>
      <w:rFonts w:ascii="Tahoma" w:hAnsi="Tahoma"/>
      <w:sz w:val="24"/>
      <w:szCs w:val="20"/>
    </w:rPr>
  </w:style>
  <w:style w:type="paragraph" w:customStyle="1" w:styleId="85">
    <w:name w:val="修订1"/>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qFormat/>
    <w:uiPriority w:val="0"/>
    <w:pPr>
      <w:ind w:firstLine="420" w:firstLineChars="200"/>
    </w:pPr>
  </w:style>
  <w:style w:type="paragraph" w:customStyle="1" w:styleId="87">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8">
    <w:name w:val="列表段落1"/>
    <w:basedOn w:val="1"/>
    <w:qFormat/>
    <w:uiPriority w:val="34"/>
    <w:pPr>
      <w:ind w:firstLine="420" w:firstLineChars="200"/>
    </w:pPr>
    <w:rPr>
      <w:szCs w:val="20"/>
    </w:rPr>
  </w:style>
  <w:style w:type="paragraph" w:customStyle="1" w:styleId="89">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0">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3"/>
    <customShpInfo spid="_x0000_s3080"/>
    <customShpInfo spid="_x0000_s3081"/>
    <customShpInfo spid="_x0000_s3075"/>
    <customShpInfo spid="_x0000_s3076"/>
    <customShpInfo spid="_x0000_s3077"/>
    <customShpInfo spid="_x0000_s3078"/>
    <customShpInfo spid="_x0000_s3079"/>
    <customShpInfo spid="_x0000_s3084"/>
    <customShpInfo spid="_x0000_s3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31</Pages>
  <Words>14997</Words>
  <Characters>15710</Characters>
  <Lines>125</Lines>
  <Paragraphs>35</Paragraphs>
  <TotalTime>6</TotalTime>
  <ScaleCrop>false</ScaleCrop>
  <LinksUpToDate>false</LinksUpToDate>
  <CharactersWithSpaces>17138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2021-08-27T02:59:00Z</dcterms:created>
  <dc:creator>唐冰</dc:creator>
  <cp:lastModifiedBy>z</cp:lastModifiedBy>
  <cp:lastPrinted>2019-04-15T00:11:00Z</cp:lastPrinted>
  <dcterms:modified xsi:type="dcterms:W3CDTF">2023-06-12T02:45:20Z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633E1C69E9714BEC96C32230E555C7D7</vt:lpwstr>
  </property>
  <property fmtid="{D5CDD505-2E9C-101B-9397-08002B2CF9AE}" pid="5" name="commondata">
    <vt:lpwstr>eyJoZGlkIjoiZDBjZWU5MTI3NGU4NzU0OWFiYzM0ZWM2MDY1NTJhYzQifQ==</vt:lpwstr>
  </property>
</Properties>
</file>